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04A" w:rsidRPr="00CE440F" w:rsidRDefault="008C28E2" w:rsidP="00DC1E52">
      <w:pPr>
        <w:spacing w:before="60" w:after="0" w:line="300" w:lineRule="atLeast"/>
        <w:jc w:val="center"/>
        <w:rPr>
          <w:rFonts w:ascii="Times New Roman" w:hAnsi="Times New Roman" w:cs="Times New Roman"/>
          <w:b/>
          <w:sz w:val="24"/>
          <w:szCs w:val="24"/>
        </w:rPr>
      </w:pPr>
      <w:bookmarkStart w:id="0" w:name="_GoBack"/>
      <w:bookmarkEnd w:id="0"/>
      <w:r w:rsidRPr="00CE440F">
        <w:rPr>
          <w:rFonts w:ascii="Times New Roman" w:hAnsi="Times New Roman" w:cs="Times New Roman"/>
          <w:b/>
          <w:sz w:val="24"/>
          <w:szCs w:val="24"/>
        </w:rPr>
        <w:t xml:space="preserve">Мотиви </w:t>
      </w:r>
    </w:p>
    <w:p w:rsidR="004D74C7" w:rsidRPr="00CE440F" w:rsidRDefault="008C28E2" w:rsidP="00DC1E52">
      <w:pPr>
        <w:spacing w:before="60" w:after="0" w:line="300" w:lineRule="atLeast"/>
        <w:jc w:val="center"/>
        <w:rPr>
          <w:rFonts w:ascii="Times New Roman" w:hAnsi="Times New Roman" w:cs="Times New Roman"/>
          <w:b/>
          <w:sz w:val="24"/>
          <w:szCs w:val="24"/>
        </w:rPr>
      </w:pPr>
      <w:r w:rsidRPr="00CE440F">
        <w:rPr>
          <w:rFonts w:ascii="Times New Roman" w:hAnsi="Times New Roman" w:cs="Times New Roman"/>
          <w:b/>
          <w:sz w:val="24"/>
          <w:szCs w:val="24"/>
        </w:rPr>
        <w:t xml:space="preserve">към </w:t>
      </w:r>
      <w:r w:rsidR="0082304A" w:rsidRPr="00CE440F">
        <w:rPr>
          <w:rFonts w:ascii="Times New Roman" w:hAnsi="Times New Roman" w:cs="Times New Roman"/>
          <w:b/>
          <w:sz w:val="24"/>
          <w:szCs w:val="24"/>
        </w:rPr>
        <w:t xml:space="preserve">Законопроекта </w:t>
      </w:r>
      <w:r w:rsidRPr="00CE440F">
        <w:rPr>
          <w:rFonts w:ascii="Times New Roman" w:hAnsi="Times New Roman" w:cs="Times New Roman"/>
          <w:b/>
          <w:sz w:val="24"/>
          <w:szCs w:val="24"/>
        </w:rPr>
        <w:t xml:space="preserve">за бюджет на </w:t>
      </w:r>
      <w:r w:rsidR="0082304A" w:rsidRPr="00CE440F">
        <w:rPr>
          <w:rFonts w:ascii="Times New Roman" w:hAnsi="Times New Roman" w:cs="Times New Roman"/>
          <w:b/>
          <w:sz w:val="24"/>
          <w:szCs w:val="24"/>
        </w:rPr>
        <w:t xml:space="preserve">Националната здравноосигурителна каса </w:t>
      </w:r>
    </w:p>
    <w:p w:rsidR="008C28E2" w:rsidRPr="00CE440F" w:rsidRDefault="00BF6F54" w:rsidP="00DC1E52">
      <w:pPr>
        <w:spacing w:before="60" w:after="0" w:line="300" w:lineRule="atLeast"/>
        <w:jc w:val="center"/>
        <w:rPr>
          <w:rFonts w:ascii="Times New Roman" w:hAnsi="Times New Roman" w:cs="Times New Roman"/>
          <w:b/>
          <w:sz w:val="24"/>
          <w:szCs w:val="24"/>
        </w:rPr>
      </w:pPr>
      <w:r w:rsidRPr="00CE440F">
        <w:rPr>
          <w:rFonts w:ascii="Times New Roman" w:hAnsi="Times New Roman" w:cs="Times New Roman"/>
          <w:b/>
          <w:sz w:val="24"/>
          <w:szCs w:val="24"/>
        </w:rPr>
        <w:t>за 202</w:t>
      </w:r>
      <w:r w:rsidR="00774296" w:rsidRPr="00CE440F">
        <w:rPr>
          <w:rFonts w:ascii="Times New Roman" w:hAnsi="Times New Roman" w:cs="Times New Roman"/>
          <w:b/>
          <w:sz w:val="24"/>
          <w:szCs w:val="24"/>
          <w:lang w:val="en-US"/>
        </w:rPr>
        <w:t xml:space="preserve">1 </w:t>
      </w:r>
      <w:r w:rsidR="00CC062A" w:rsidRPr="00CE440F">
        <w:rPr>
          <w:rFonts w:ascii="Times New Roman" w:hAnsi="Times New Roman" w:cs="Times New Roman"/>
          <w:b/>
          <w:sz w:val="24"/>
          <w:szCs w:val="24"/>
        </w:rPr>
        <w:t>г.</w:t>
      </w:r>
    </w:p>
    <w:p w:rsidR="00CC062A" w:rsidRPr="00CE440F" w:rsidRDefault="00CC062A" w:rsidP="00DC1E52">
      <w:pPr>
        <w:spacing w:before="60" w:after="0" w:line="300" w:lineRule="atLeast"/>
        <w:rPr>
          <w:rFonts w:ascii="Times New Roman" w:eastAsia="Times New Roman" w:hAnsi="Times New Roman" w:cs="Times New Roman"/>
          <w:sz w:val="24"/>
          <w:szCs w:val="24"/>
        </w:rPr>
      </w:pPr>
      <w:bookmarkStart w:id="1" w:name="_Toc24526600"/>
      <w:bookmarkStart w:id="2" w:name="_Toc24534410"/>
      <w:bookmarkStart w:id="3" w:name="_Toc24534743"/>
    </w:p>
    <w:bookmarkEnd w:id="1"/>
    <w:bookmarkEnd w:id="2"/>
    <w:bookmarkEnd w:id="3"/>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0"/>
        </w:rPr>
      </w:pPr>
      <w:r w:rsidRPr="00CE440F">
        <w:rPr>
          <w:rFonts w:ascii="Times New Roman" w:eastAsia="Times New Roman" w:hAnsi="Times New Roman" w:cs="Times New Roman"/>
          <w:sz w:val="24"/>
          <w:szCs w:val="20"/>
        </w:rPr>
        <w:t>Проектът на бюджет на Националната здравно</w:t>
      </w:r>
      <w:r w:rsidR="00BF6F54" w:rsidRPr="00CE440F">
        <w:rPr>
          <w:rFonts w:ascii="Times New Roman" w:eastAsia="Times New Roman" w:hAnsi="Times New Roman" w:cs="Times New Roman"/>
          <w:sz w:val="24"/>
          <w:szCs w:val="20"/>
        </w:rPr>
        <w:t>осигурителна каса (НЗОК) за 202</w:t>
      </w:r>
      <w:r w:rsidR="00774296" w:rsidRPr="00CE440F">
        <w:rPr>
          <w:rFonts w:ascii="Times New Roman" w:eastAsia="Times New Roman" w:hAnsi="Times New Roman" w:cs="Times New Roman"/>
          <w:sz w:val="24"/>
          <w:szCs w:val="20"/>
          <w:lang w:val="en-US"/>
        </w:rPr>
        <w:t>1</w:t>
      </w:r>
      <w:r w:rsidRPr="00CE440F">
        <w:rPr>
          <w:rFonts w:ascii="Times New Roman" w:eastAsia="Times New Roman" w:hAnsi="Times New Roman" w:cs="Times New Roman"/>
          <w:sz w:val="24"/>
          <w:szCs w:val="20"/>
        </w:rPr>
        <w:t> г. е съставен в съответствие с бюджетната рамка. С него се постига гарантиране на пакета здравноосигурителни дейности в обхвата на задължителното здравно осигуря</w:t>
      </w:r>
      <w:r w:rsidR="001A4230" w:rsidRPr="00CE440F">
        <w:rPr>
          <w:rFonts w:ascii="Times New Roman" w:eastAsia="Times New Roman" w:hAnsi="Times New Roman" w:cs="Times New Roman"/>
          <w:sz w:val="24"/>
          <w:szCs w:val="20"/>
        </w:rPr>
        <w:t>ване, като спрямо закона за 20</w:t>
      </w:r>
      <w:r w:rsidR="00774296" w:rsidRPr="00CE440F">
        <w:rPr>
          <w:rFonts w:ascii="Times New Roman" w:eastAsia="Times New Roman" w:hAnsi="Times New Roman" w:cs="Times New Roman"/>
          <w:sz w:val="24"/>
          <w:szCs w:val="20"/>
          <w:lang w:val="en-US"/>
        </w:rPr>
        <w:t>20</w:t>
      </w:r>
      <w:r w:rsidR="001A4230" w:rsidRPr="00CE440F">
        <w:rPr>
          <w:rFonts w:ascii="Times New Roman" w:eastAsia="Times New Roman" w:hAnsi="Times New Roman" w:cs="Times New Roman"/>
          <w:sz w:val="24"/>
          <w:szCs w:val="20"/>
        </w:rPr>
        <w:t> г., през 202</w:t>
      </w:r>
      <w:r w:rsidR="00774296" w:rsidRPr="00CE440F">
        <w:rPr>
          <w:rFonts w:ascii="Times New Roman" w:eastAsia="Times New Roman" w:hAnsi="Times New Roman" w:cs="Times New Roman"/>
          <w:sz w:val="24"/>
          <w:szCs w:val="20"/>
          <w:lang w:val="en-US"/>
        </w:rPr>
        <w:t>1</w:t>
      </w:r>
      <w:r w:rsidRPr="00CE440F">
        <w:rPr>
          <w:rFonts w:ascii="Times New Roman" w:eastAsia="Times New Roman" w:hAnsi="Times New Roman" w:cs="Times New Roman"/>
          <w:sz w:val="24"/>
          <w:szCs w:val="20"/>
        </w:rPr>
        <w:t xml:space="preserve"> г. за Националната здравноосигурителна каса са осигурени </w:t>
      </w:r>
      <w:r w:rsidR="00AB7CAD" w:rsidRPr="00CE440F">
        <w:rPr>
          <w:rFonts w:ascii="Times New Roman" w:eastAsia="Times New Roman" w:hAnsi="Times New Roman" w:cs="Times New Roman"/>
          <w:sz w:val="24"/>
          <w:szCs w:val="20"/>
          <w:lang w:val="en-US"/>
        </w:rPr>
        <w:t>3</w:t>
      </w:r>
      <w:r w:rsidR="002F42B7" w:rsidRPr="00CE440F">
        <w:rPr>
          <w:rFonts w:ascii="Times New Roman" w:eastAsia="Times New Roman" w:hAnsi="Times New Roman" w:cs="Times New Roman"/>
          <w:sz w:val="24"/>
          <w:szCs w:val="20"/>
        </w:rPr>
        <w:t>38</w:t>
      </w:r>
      <w:r w:rsidR="00774296" w:rsidRPr="00CE440F">
        <w:rPr>
          <w:rFonts w:ascii="Times New Roman" w:eastAsia="Times New Roman" w:hAnsi="Times New Roman" w:cs="Times New Roman"/>
          <w:sz w:val="24"/>
          <w:szCs w:val="20"/>
          <w:lang w:val="en-US"/>
        </w:rPr>
        <w:t> </w:t>
      </w:r>
      <w:r w:rsidR="002F42B7" w:rsidRPr="00CE440F">
        <w:rPr>
          <w:rFonts w:ascii="Times New Roman" w:eastAsia="Times New Roman" w:hAnsi="Times New Roman" w:cs="Times New Roman"/>
          <w:sz w:val="24"/>
          <w:szCs w:val="20"/>
        </w:rPr>
        <w:t>3</w:t>
      </w:r>
      <w:r w:rsidR="00AB7CAD" w:rsidRPr="00CE440F">
        <w:rPr>
          <w:rFonts w:ascii="Times New Roman" w:eastAsia="Times New Roman" w:hAnsi="Times New Roman" w:cs="Times New Roman"/>
          <w:sz w:val="24"/>
          <w:szCs w:val="20"/>
          <w:lang w:val="en-US"/>
        </w:rPr>
        <w:t>19</w:t>
      </w:r>
      <w:r w:rsidR="00774296" w:rsidRPr="00CE440F">
        <w:rPr>
          <w:rFonts w:ascii="Times New Roman" w:eastAsia="Times New Roman" w:hAnsi="Times New Roman" w:cs="Times New Roman"/>
          <w:sz w:val="24"/>
          <w:szCs w:val="20"/>
          <w:lang w:val="en-US"/>
        </w:rPr>
        <w:t>,</w:t>
      </w:r>
      <w:r w:rsidR="00AB7CAD" w:rsidRPr="00CE440F">
        <w:rPr>
          <w:rFonts w:ascii="Times New Roman" w:eastAsia="Times New Roman" w:hAnsi="Times New Roman" w:cs="Times New Roman"/>
          <w:sz w:val="24"/>
          <w:szCs w:val="20"/>
          <w:lang w:val="en-US"/>
        </w:rPr>
        <w:t>4</w:t>
      </w:r>
      <w:r w:rsidRPr="00CE440F">
        <w:rPr>
          <w:rFonts w:ascii="Times New Roman" w:eastAsia="Times New Roman" w:hAnsi="Times New Roman" w:cs="Times New Roman"/>
          <w:sz w:val="24"/>
          <w:szCs w:val="20"/>
        </w:rPr>
        <w:t xml:space="preserve"> </w:t>
      </w:r>
      <w:r w:rsidR="00774296" w:rsidRPr="00CE440F">
        <w:rPr>
          <w:rFonts w:ascii="Times New Roman" w:eastAsia="Times New Roman" w:hAnsi="Times New Roman" w:cs="Times New Roman"/>
          <w:sz w:val="24"/>
          <w:szCs w:val="20"/>
        </w:rPr>
        <w:t>хил.</w:t>
      </w:r>
      <w:r w:rsidRPr="00CE440F">
        <w:rPr>
          <w:rFonts w:ascii="Times New Roman" w:eastAsia="Times New Roman" w:hAnsi="Times New Roman" w:cs="Times New Roman"/>
          <w:sz w:val="24"/>
          <w:szCs w:val="20"/>
        </w:rPr>
        <w:t xml:space="preserve"> лв. допълнителни средства за разходи и трансфери - всичко.</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0"/>
        </w:rPr>
        <w:t xml:space="preserve">Проектът на </w:t>
      </w:r>
      <w:r w:rsidR="001A4230" w:rsidRPr="00CE440F">
        <w:rPr>
          <w:rFonts w:ascii="Times New Roman" w:eastAsia="Times New Roman" w:hAnsi="Times New Roman" w:cs="Times New Roman"/>
          <w:sz w:val="24"/>
          <w:szCs w:val="20"/>
        </w:rPr>
        <w:t>Закон за бюджета на НЗОК за 202</w:t>
      </w:r>
      <w:r w:rsidR="00774296" w:rsidRPr="00CE440F">
        <w:rPr>
          <w:rFonts w:ascii="Times New Roman" w:eastAsia="Times New Roman" w:hAnsi="Times New Roman" w:cs="Times New Roman"/>
          <w:sz w:val="24"/>
          <w:szCs w:val="20"/>
          <w:lang w:val="en-US"/>
        </w:rPr>
        <w:t>1</w:t>
      </w:r>
      <w:r w:rsidR="001A4230" w:rsidRPr="00CE440F">
        <w:rPr>
          <w:rFonts w:ascii="Times New Roman" w:eastAsia="Times New Roman" w:hAnsi="Times New Roman" w:cs="Times New Roman"/>
          <w:sz w:val="24"/>
          <w:szCs w:val="20"/>
        </w:rPr>
        <w:t> г. (ЗБНЗОК за 202</w:t>
      </w:r>
      <w:r w:rsidR="00774296" w:rsidRPr="00CE440F">
        <w:rPr>
          <w:rFonts w:ascii="Times New Roman" w:eastAsia="Times New Roman" w:hAnsi="Times New Roman" w:cs="Times New Roman"/>
          <w:sz w:val="24"/>
          <w:szCs w:val="20"/>
          <w:lang w:val="en-US"/>
        </w:rPr>
        <w:t>1</w:t>
      </w:r>
      <w:r w:rsidRPr="00CE440F">
        <w:rPr>
          <w:rFonts w:ascii="Times New Roman" w:eastAsia="Times New Roman" w:hAnsi="Times New Roman" w:cs="Times New Roman"/>
          <w:sz w:val="24"/>
          <w:szCs w:val="20"/>
        </w:rPr>
        <w:t> г.) предвижда публичните средства да бъдат изразходвани законосъобразно, прозрачно и ефективно, като за целта чрез нормативната уредба са създадени необходимите предпоставки и контролни механизми.</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0"/>
        </w:rPr>
      </w:pPr>
      <w:r w:rsidRPr="00CE440F">
        <w:rPr>
          <w:rFonts w:ascii="Times New Roman" w:eastAsia="Times New Roman" w:hAnsi="Times New Roman" w:cs="Times New Roman"/>
          <w:sz w:val="24"/>
          <w:szCs w:val="20"/>
        </w:rPr>
        <w:t>Основна цел е да се осигури достъпна, качествена и своевременна медицинска помощ на здравноосигурените лица и равнопоставен достъп на лечебните заведения, отговарящи на условията за сключване на договори с НЗОК, за възможността да предоставят медицински и дентални дейности професионално и на високо ниво.</w:t>
      </w:r>
    </w:p>
    <w:p w:rsidR="004D74C7" w:rsidRPr="00CE440F" w:rsidRDefault="004D74C7" w:rsidP="00DC1E52">
      <w:pPr>
        <w:spacing w:before="60" w:after="0" w:line="300" w:lineRule="atLeast"/>
        <w:ind w:firstLine="709"/>
        <w:jc w:val="both"/>
        <w:rPr>
          <w:rFonts w:ascii="Times New Roman" w:eastAsia="Times New Roman" w:hAnsi="Times New Roman" w:cs="Times New Roman"/>
          <w:sz w:val="24"/>
          <w:szCs w:val="20"/>
        </w:rPr>
      </w:pP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І. ПРИХОДИ И ТРАНСФЕРИ – ВСИЧКО</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Оценката за очакваните п</w:t>
      </w:r>
      <w:r w:rsidR="001A4230" w:rsidRPr="00CE440F">
        <w:rPr>
          <w:rFonts w:ascii="Times New Roman" w:eastAsia="Times New Roman" w:hAnsi="Times New Roman" w:cs="Times New Roman"/>
          <w:sz w:val="24"/>
          <w:szCs w:val="24"/>
        </w:rPr>
        <w:t>риходи на НЗОК през периода 202</w:t>
      </w:r>
      <w:r w:rsidR="00774296" w:rsidRPr="00CE440F">
        <w:rPr>
          <w:rFonts w:ascii="Times New Roman" w:eastAsia="Times New Roman" w:hAnsi="Times New Roman" w:cs="Times New Roman"/>
          <w:sz w:val="24"/>
          <w:szCs w:val="24"/>
          <w:lang w:val="en-US"/>
        </w:rPr>
        <w:t>1</w:t>
      </w:r>
      <w:r w:rsidR="001A4230" w:rsidRPr="00CE440F">
        <w:rPr>
          <w:rFonts w:ascii="Times New Roman" w:eastAsia="Times New Roman" w:hAnsi="Times New Roman" w:cs="Times New Roman"/>
          <w:sz w:val="24"/>
          <w:szCs w:val="24"/>
        </w:rPr>
        <w:t xml:space="preserve"> - 202</w:t>
      </w:r>
      <w:r w:rsidR="00774296" w:rsidRPr="00CE440F">
        <w:rPr>
          <w:rFonts w:ascii="Times New Roman" w:eastAsia="Times New Roman" w:hAnsi="Times New Roman" w:cs="Times New Roman"/>
          <w:sz w:val="24"/>
          <w:szCs w:val="24"/>
          <w:lang w:val="en-US"/>
        </w:rPr>
        <w:t>3</w:t>
      </w:r>
      <w:r w:rsidRPr="00CE440F">
        <w:rPr>
          <w:rFonts w:ascii="Times New Roman" w:eastAsia="Times New Roman" w:hAnsi="Times New Roman" w:cs="Times New Roman"/>
          <w:sz w:val="24"/>
          <w:szCs w:val="24"/>
        </w:rPr>
        <w:t> г. е направена на база заложените макроикономически показатели и отчитат ефектите от провежданите от правителството политики.</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b/>
          <w:sz w:val="24"/>
          <w:szCs w:val="24"/>
        </w:rPr>
        <w:t>Здрав</w:t>
      </w:r>
      <w:r w:rsidR="001A4230" w:rsidRPr="00CE440F">
        <w:rPr>
          <w:rFonts w:ascii="Times New Roman" w:eastAsia="Times New Roman" w:hAnsi="Times New Roman" w:cs="Times New Roman"/>
          <w:b/>
          <w:sz w:val="24"/>
          <w:szCs w:val="24"/>
        </w:rPr>
        <w:t>ноосигурителните приходи за 202</w:t>
      </w:r>
      <w:r w:rsidR="00774296" w:rsidRPr="00CE440F">
        <w:rPr>
          <w:rFonts w:ascii="Times New Roman" w:eastAsia="Times New Roman" w:hAnsi="Times New Roman" w:cs="Times New Roman"/>
          <w:b/>
          <w:sz w:val="24"/>
          <w:szCs w:val="24"/>
          <w:lang w:val="en-US"/>
        </w:rPr>
        <w:t>1</w:t>
      </w:r>
      <w:r w:rsidR="00774296" w:rsidRPr="00CE440F">
        <w:rPr>
          <w:rFonts w:ascii="Times New Roman" w:eastAsia="Times New Roman" w:hAnsi="Times New Roman" w:cs="Times New Roman"/>
          <w:sz w:val="24"/>
          <w:szCs w:val="24"/>
        </w:rPr>
        <w:t> г. са разчетени с ръст от</w:t>
      </w:r>
      <w:r w:rsidR="003500E1" w:rsidRPr="00CE440F">
        <w:rPr>
          <w:rFonts w:ascii="Times New Roman" w:eastAsia="Times New Roman" w:hAnsi="Times New Roman" w:cs="Times New Roman"/>
          <w:sz w:val="24"/>
          <w:szCs w:val="24"/>
        </w:rPr>
        <w:t xml:space="preserve"> </w:t>
      </w:r>
      <w:r w:rsidR="00AB7CAD" w:rsidRPr="00CE440F">
        <w:rPr>
          <w:rFonts w:ascii="Times New Roman" w:eastAsia="Times New Roman" w:hAnsi="Times New Roman" w:cs="Times New Roman"/>
          <w:sz w:val="24"/>
          <w:szCs w:val="24"/>
          <w:lang w:val="en-US"/>
        </w:rPr>
        <w:t>34</w:t>
      </w:r>
      <w:r w:rsidR="002F42B7" w:rsidRPr="00CE440F">
        <w:rPr>
          <w:rFonts w:ascii="Times New Roman" w:eastAsia="Times New Roman" w:hAnsi="Times New Roman" w:cs="Times New Roman"/>
          <w:sz w:val="24"/>
          <w:szCs w:val="24"/>
        </w:rPr>
        <w:t>0</w:t>
      </w:r>
      <w:r w:rsidR="00AB7CAD" w:rsidRPr="00CE440F">
        <w:rPr>
          <w:rFonts w:ascii="Times New Roman" w:eastAsia="Times New Roman" w:hAnsi="Times New Roman" w:cs="Times New Roman"/>
          <w:sz w:val="24"/>
          <w:szCs w:val="24"/>
          <w:lang w:val="en-US"/>
        </w:rPr>
        <w:t> </w:t>
      </w:r>
      <w:r w:rsidR="002F42B7" w:rsidRPr="00CE440F">
        <w:rPr>
          <w:rFonts w:ascii="Times New Roman" w:eastAsia="Times New Roman" w:hAnsi="Times New Roman" w:cs="Times New Roman"/>
          <w:sz w:val="24"/>
          <w:szCs w:val="24"/>
        </w:rPr>
        <w:t>239</w:t>
      </w:r>
      <w:r w:rsidR="00AB7CAD" w:rsidRPr="00CE440F">
        <w:rPr>
          <w:rFonts w:ascii="Times New Roman" w:eastAsia="Times New Roman" w:hAnsi="Times New Roman" w:cs="Times New Roman"/>
          <w:sz w:val="24"/>
          <w:szCs w:val="24"/>
          <w:lang w:val="en-US"/>
        </w:rPr>
        <w:t>,8</w:t>
      </w:r>
      <w:r w:rsidR="003500E1" w:rsidRPr="00CE440F">
        <w:rPr>
          <w:rFonts w:ascii="Times New Roman" w:eastAsia="Times New Roman" w:hAnsi="Times New Roman" w:cs="Times New Roman"/>
          <w:sz w:val="24"/>
          <w:szCs w:val="24"/>
        </w:rPr>
        <w:t> хил</w:t>
      </w:r>
      <w:r w:rsidRPr="00CE440F">
        <w:rPr>
          <w:rFonts w:ascii="Times New Roman" w:eastAsia="Times New Roman" w:hAnsi="Times New Roman" w:cs="Times New Roman"/>
          <w:sz w:val="24"/>
          <w:szCs w:val="24"/>
        </w:rPr>
        <w:t>. лв. спрямо приетите със З</w:t>
      </w:r>
      <w:r w:rsidR="001A4230" w:rsidRPr="00CE440F">
        <w:rPr>
          <w:rFonts w:ascii="Times New Roman" w:eastAsia="Times New Roman" w:hAnsi="Times New Roman" w:cs="Times New Roman"/>
          <w:sz w:val="24"/>
          <w:szCs w:val="24"/>
        </w:rPr>
        <w:t>акона за бюджета на НЗОК за 20</w:t>
      </w:r>
      <w:r w:rsidR="00774296" w:rsidRPr="00CE440F">
        <w:rPr>
          <w:rFonts w:ascii="Times New Roman" w:eastAsia="Times New Roman" w:hAnsi="Times New Roman" w:cs="Times New Roman"/>
          <w:sz w:val="24"/>
          <w:szCs w:val="24"/>
          <w:lang w:val="en-US"/>
        </w:rPr>
        <w:t>20</w:t>
      </w:r>
      <w:r w:rsidRPr="00CE440F">
        <w:rPr>
          <w:rFonts w:ascii="Times New Roman" w:eastAsia="Times New Roman" w:hAnsi="Times New Roman" w:cs="Times New Roman"/>
          <w:sz w:val="24"/>
          <w:szCs w:val="24"/>
        </w:rPr>
        <w:t> г., от които:</w:t>
      </w:r>
    </w:p>
    <w:p w:rsidR="00CC062A" w:rsidRPr="00CE440F" w:rsidRDefault="00CC062A" w:rsidP="00FB5EEB">
      <w:pPr>
        <w:tabs>
          <w:tab w:val="left" w:pos="851"/>
        </w:tabs>
        <w:spacing w:before="60" w:after="0" w:line="300" w:lineRule="atLeast"/>
        <w:ind w:firstLine="786"/>
        <w:contextualSpacing/>
        <w:jc w:val="both"/>
        <w:rPr>
          <w:rFonts w:ascii="Times New Roman" w:eastAsia="Calibri" w:hAnsi="Times New Roman" w:cs="Times New Roman"/>
          <w:sz w:val="24"/>
          <w:szCs w:val="24"/>
        </w:rPr>
      </w:pPr>
      <w:r w:rsidRPr="00CE440F">
        <w:rPr>
          <w:rFonts w:ascii="Times New Roman" w:eastAsia="Calibri" w:hAnsi="Times New Roman" w:cs="Times New Roman"/>
          <w:b/>
          <w:sz w:val="24"/>
          <w:szCs w:val="24"/>
        </w:rPr>
        <w:t>Приходи от здравноосигурителни вноски, събирани от НАП</w:t>
      </w:r>
      <w:r w:rsidRPr="00CE440F">
        <w:rPr>
          <w:rFonts w:ascii="Times New Roman" w:eastAsia="Calibri" w:hAnsi="Times New Roman" w:cs="Times New Roman"/>
          <w:sz w:val="24"/>
          <w:szCs w:val="24"/>
        </w:rPr>
        <w:t xml:space="preserve"> – </w:t>
      </w:r>
      <w:r w:rsidRPr="00CE440F">
        <w:rPr>
          <w:rFonts w:ascii="Times New Roman" w:eastAsia="Calibri" w:hAnsi="Times New Roman" w:cs="Times New Roman"/>
          <w:b/>
          <w:sz w:val="24"/>
          <w:szCs w:val="24"/>
        </w:rPr>
        <w:t xml:space="preserve">ръст от </w:t>
      </w:r>
      <w:r w:rsidR="00AB7CAD" w:rsidRPr="00CE440F">
        <w:rPr>
          <w:rFonts w:ascii="Times New Roman" w:eastAsia="Calibri" w:hAnsi="Times New Roman" w:cs="Times New Roman"/>
          <w:b/>
          <w:sz w:val="24"/>
          <w:szCs w:val="24"/>
          <w:lang w:val="en-US"/>
        </w:rPr>
        <w:t>93</w:t>
      </w:r>
      <w:r w:rsidR="003500E1" w:rsidRPr="00CE440F">
        <w:rPr>
          <w:rFonts w:ascii="Times New Roman" w:eastAsia="Calibri" w:hAnsi="Times New Roman" w:cs="Times New Roman"/>
          <w:b/>
          <w:sz w:val="24"/>
          <w:szCs w:val="24"/>
        </w:rPr>
        <w:t> 72</w:t>
      </w:r>
      <w:r w:rsidR="00AB7CAD" w:rsidRPr="00CE440F">
        <w:rPr>
          <w:rFonts w:ascii="Times New Roman" w:eastAsia="Calibri" w:hAnsi="Times New Roman" w:cs="Times New Roman"/>
          <w:b/>
          <w:sz w:val="24"/>
          <w:szCs w:val="24"/>
          <w:lang w:val="en-US"/>
        </w:rPr>
        <w:t>8</w:t>
      </w:r>
      <w:r w:rsidR="00FB5EEB" w:rsidRPr="00CE440F">
        <w:rPr>
          <w:rFonts w:ascii="Times New Roman" w:eastAsia="Calibri" w:hAnsi="Times New Roman" w:cs="Times New Roman"/>
          <w:b/>
          <w:sz w:val="24"/>
          <w:szCs w:val="24"/>
        </w:rPr>
        <w:t>,</w:t>
      </w:r>
      <w:r w:rsidR="00AB7CAD" w:rsidRPr="00CE440F">
        <w:rPr>
          <w:rFonts w:ascii="Times New Roman" w:eastAsia="Calibri" w:hAnsi="Times New Roman" w:cs="Times New Roman"/>
          <w:b/>
          <w:sz w:val="24"/>
          <w:szCs w:val="24"/>
          <w:lang w:val="en-US"/>
        </w:rPr>
        <w:t>3</w:t>
      </w:r>
      <w:r w:rsidR="003500E1" w:rsidRPr="00CE440F">
        <w:rPr>
          <w:rFonts w:ascii="Times New Roman" w:eastAsia="Calibri" w:hAnsi="Times New Roman" w:cs="Times New Roman"/>
          <w:b/>
          <w:sz w:val="24"/>
          <w:szCs w:val="24"/>
        </w:rPr>
        <w:t xml:space="preserve"> хил</w:t>
      </w:r>
      <w:r w:rsidRPr="00CE440F">
        <w:rPr>
          <w:rFonts w:ascii="Times New Roman" w:eastAsia="Calibri" w:hAnsi="Times New Roman" w:cs="Times New Roman"/>
          <w:b/>
          <w:sz w:val="24"/>
          <w:szCs w:val="24"/>
        </w:rPr>
        <w:t>. лв</w:t>
      </w:r>
      <w:r w:rsidRPr="00CE440F">
        <w:rPr>
          <w:rFonts w:ascii="Times New Roman" w:eastAsia="Calibri" w:hAnsi="Times New Roman" w:cs="Times New Roman"/>
          <w:sz w:val="24"/>
          <w:szCs w:val="24"/>
        </w:rPr>
        <w:t>., в т.ч. са отчетени ефектите от:</w:t>
      </w:r>
    </w:p>
    <w:p w:rsidR="00FB5EEB" w:rsidRPr="00CE440F" w:rsidRDefault="00FB5EEB" w:rsidP="00FB5EEB">
      <w:pPr>
        <w:numPr>
          <w:ilvl w:val="0"/>
          <w:numId w:val="11"/>
        </w:numPr>
        <w:tabs>
          <w:tab w:val="left" w:pos="1134"/>
        </w:tabs>
        <w:spacing w:before="60" w:after="0" w:line="300" w:lineRule="atLeast"/>
        <w:ind w:left="0" w:firstLine="714"/>
        <w:contextualSpacing/>
        <w:jc w:val="both"/>
        <w:rPr>
          <w:rFonts w:ascii="Times New Roman" w:eastAsia="Calibri" w:hAnsi="Times New Roman" w:cs="Times New Roman"/>
          <w:sz w:val="24"/>
          <w:szCs w:val="24"/>
        </w:rPr>
      </w:pPr>
      <w:r w:rsidRPr="00CE440F">
        <w:rPr>
          <w:rFonts w:ascii="Times New Roman" w:hAnsi="Times New Roman"/>
          <w:sz w:val="24"/>
          <w:szCs w:val="24"/>
        </w:rPr>
        <w:t>Увеличаване размера на минималната работна заплата от 610 лв. на 650 лв. от 01.01.2021 година</w:t>
      </w:r>
      <w:r w:rsidRPr="00CE440F">
        <w:rPr>
          <w:rFonts w:ascii="Times New Roman" w:eastAsia="Calibri" w:hAnsi="Times New Roman" w:cs="Times New Roman"/>
          <w:sz w:val="24"/>
          <w:szCs w:val="24"/>
        </w:rPr>
        <w:t>;</w:t>
      </w:r>
    </w:p>
    <w:p w:rsidR="00FB5EEB" w:rsidRPr="00CE440F" w:rsidRDefault="00FB5EEB" w:rsidP="00FB5EEB">
      <w:pPr>
        <w:numPr>
          <w:ilvl w:val="0"/>
          <w:numId w:val="11"/>
        </w:numPr>
        <w:tabs>
          <w:tab w:val="left" w:pos="1134"/>
        </w:tabs>
        <w:spacing w:before="60" w:after="0" w:line="300" w:lineRule="atLeast"/>
        <w:ind w:left="0" w:firstLine="714"/>
        <w:contextualSpacing/>
        <w:jc w:val="both"/>
      </w:pPr>
      <w:r w:rsidRPr="00CE440F">
        <w:rPr>
          <w:rFonts w:ascii="Times New Roman" w:hAnsi="Times New Roman"/>
          <w:sz w:val="24"/>
          <w:szCs w:val="24"/>
        </w:rPr>
        <w:t>Актуализираните разчети за централизираните здравноосигурителни вноски за 2021 г. в резултат на основните допускания за политиката по доходите за 2021 г. и увеличението</w:t>
      </w:r>
      <w:r w:rsidRPr="00CE440F">
        <w:t xml:space="preserve"> </w:t>
      </w:r>
      <w:r w:rsidRPr="00CE440F">
        <w:rPr>
          <w:rFonts w:ascii="Times New Roman" w:hAnsi="Times New Roman"/>
          <w:sz w:val="24"/>
          <w:szCs w:val="24"/>
        </w:rPr>
        <w:t>на заплатите на педагогическия персонал</w:t>
      </w:r>
      <w:r w:rsidRPr="00CE440F">
        <w:rPr>
          <w:rFonts w:ascii="Times New Roman" w:hAnsi="Times New Roman"/>
          <w:sz w:val="24"/>
          <w:szCs w:val="24"/>
          <w:lang w:val="en-US"/>
        </w:rPr>
        <w:t>;</w:t>
      </w:r>
    </w:p>
    <w:p w:rsidR="004D073B" w:rsidRPr="00CE440F" w:rsidRDefault="00FB5EEB" w:rsidP="00FB5EEB">
      <w:pPr>
        <w:numPr>
          <w:ilvl w:val="0"/>
          <w:numId w:val="11"/>
        </w:numPr>
        <w:tabs>
          <w:tab w:val="left" w:pos="1134"/>
        </w:tabs>
        <w:spacing w:before="60" w:after="0" w:line="300" w:lineRule="atLeast"/>
        <w:ind w:left="0" w:firstLine="714"/>
        <w:contextualSpacing/>
        <w:jc w:val="both"/>
        <w:rPr>
          <w:rFonts w:ascii="Times New Roman" w:eastAsia="Calibri" w:hAnsi="Times New Roman" w:cs="Times New Roman"/>
          <w:sz w:val="24"/>
          <w:szCs w:val="24"/>
        </w:rPr>
      </w:pPr>
      <w:r w:rsidRPr="00CE440F">
        <w:rPr>
          <w:rFonts w:ascii="Times New Roman" w:hAnsi="Times New Roman"/>
          <w:sz w:val="24"/>
          <w:szCs w:val="24"/>
        </w:rPr>
        <w:t>Повишаване на минималния осигурителен доход на земеделските производители и на самоосигуряващите се лица съразмерно с увеличението на минималната работна заплата.</w:t>
      </w:r>
    </w:p>
    <w:p w:rsidR="00CC062A" w:rsidRPr="00CE440F" w:rsidRDefault="004D073B"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sz w:val="24"/>
          <w:szCs w:val="24"/>
        </w:rPr>
        <w:t>В проекта за ЗБНЗОК за 202</w:t>
      </w:r>
      <w:r w:rsidR="00774296" w:rsidRPr="00CE440F">
        <w:rPr>
          <w:rFonts w:ascii="Times New Roman" w:eastAsia="Times New Roman" w:hAnsi="Times New Roman" w:cs="Times New Roman"/>
          <w:sz w:val="24"/>
          <w:szCs w:val="24"/>
          <w:lang w:val="en-US"/>
        </w:rPr>
        <w:t>1</w:t>
      </w:r>
      <w:r w:rsidR="00CC062A" w:rsidRPr="00CE440F">
        <w:rPr>
          <w:rFonts w:ascii="Times New Roman" w:eastAsia="Times New Roman" w:hAnsi="Times New Roman" w:cs="Times New Roman"/>
          <w:sz w:val="24"/>
          <w:szCs w:val="24"/>
        </w:rPr>
        <w:t xml:space="preserve"> година са предвидени </w:t>
      </w:r>
      <w:r w:rsidR="00AB7CAD" w:rsidRPr="00CE440F">
        <w:rPr>
          <w:rFonts w:ascii="Times New Roman" w:eastAsia="Times New Roman" w:hAnsi="Times New Roman" w:cs="Times New Roman"/>
          <w:b/>
          <w:sz w:val="24"/>
          <w:szCs w:val="24"/>
        </w:rPr>
        <w:t>5 0</w:t>
      </w:r>
      <w:r w:rsidR="002F42B7" w:rsidRPr="00CE440F">
        <w:rPr>
          <w:rFonts w:ascii="Times New Roman" w:eastAsia="Times New Roman" w:hAnsi="Times New Roman" w:cs="Times New Roman"/>
          <w:b/>
          <w:sz w:val="24"/>
          <w:szCs w:val="24"/>
        </w:rPr>
        <w:t>84</w:t>
      </w:r>
      <w:r w:rsidR="00AB7CAD" w:rsidRPr="00CE440F">
        <w:rPr>
          <w:rFonts w:ascii="Times New Roman" w:eastAsia="Times New Roman" w:hAnsi="Times New Roman" w:cs="Times New Roman"/>
          <w:b/>
          <w:sz w:val="24"/>
          <w:szCs w:val="24"/>
        </w:rPr>
        <w:t> </w:t>
      </w:r>
      <w:r w:rsidR="002F42B7" w:rsidRPr="00CE440F">
        <w:rPr>
          <w:rFonts w:ascii="Times New Roman" w:eastAsia="Times New Roman" w:hAnsi="Times New Roman" w:cs="Times New Roman"/>
          <w:b/>
          <w:sz w:val="24"/>
          <w:szCs w:val="24"/>
        </w:rPr>
        <w:t>8</w:t>
      </w:r>
      <w:r w:rsidR="001F2190" w:rsidRPr="00CE440F">
        <w:rPr>
          <w:rFonts w:ascii="Times New Roman" w:eastAsia="Times New Roman" w:hAnsi="Times New Roman" w:cs="Times New Roman"/>
          <w:b/>
          <w:sz w:val="24"/>
          <w:szCs w:val="24"/>
        </w:rPr>
        <w:t>71</w:t>
      </w:r>
      <w:r w:rsidR="00AB7CAD" w:rsidRPr="00CE440F">
        <w:rPr>
          <w:rFonts w:ascii="Times New Roman" w:eastAsia="Times New Roman" w:hAnsi="Times New Roman" w:cs="Times New Roman"/>
          <w:b/>
          <w:sz w:val="24"/>
          <w:szCs w:val="24"/>
        </w:rPr>
        <w:t>,</w:t>
      </w:r>
      <w:r w:rsidR="001F2190" w:rsidRPr="00CE440F">
        <w:rPr>
          <w:rFonts w:ascii="Times New Roman" w:eastAsia="Times New Roman" w:hAnsi="Times New Roman" w:cs="Times New Roman"/>
          <w:b/>
          <w:sz w:val="24"/>
          <w:szCs w:val="24"/>
        </w:rPr>
        <w:t>3</w:t>
      </w:r>
      <w:r w:rsidR="00AB7CAD" w:rsidRPr="00CE440F">
        <w:rPr>
          <w:rFonts w:ascii="Times New Roman" w:eastAsia="Times New Roman" w:hAnsi="Times New Roman" w:cs="Times New Roman"/>
          <w:b/>
          <w:sz w:val="24"/>
          <w:szCs w:val="24"/>
          <w:lang w:val="en-US"/>
        </w:rPr>
        <w:t> </w:t>
      </w:r>
      <w:r w:rsidR="00CC062A" w:rsidRPr="00CE440F">
        <w:rPr>
          <w:rFonts w:ascii="Times New Roman" w:eastAsia="Times New Roman" w:hAnsi="Times New Roman" w:cs="Times New Roman"/>
          <w:b/>
          <w:sz w:val="24"/>
          <w:szCs w:val="24"/>
        </w:rPr>
        <w:t xml:space="preserve">хил. лв. приходи и трансфери – всичко, в т.ч.: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b/>
          <w:sz w:val="24"/>
          <w:szCs w:val="24"/>
        </w:rPr>
        <w:t xml:space="preserve">1. Здравноосигурителни приходи в размер на </w:t>
      </w:r>
      <w:r w:rsidR="00A63E79" w:rsidRPr="00CE440F">
        <w:rPr>
          <w:rFonts w:ascii="Times New Roman" w:eastAsia="Times New Roman" w:hAnsi="Times New Roman" w:cs="Times New Roman"/>
          <w:b/>
          <w:sz w:val="24"/>
          <w:szCs w:val="24"/>
        </w:rPr>
        <w:t>4 9</w:t>
      </w:r>
      <w:r w:rsidR="00AB7CAD" w:rsidRPr="00CE440F">
        <w:rPr>
          <w:rFonts w:ascii="Times New Roman" w:eastAsia="Times New Roman" w:hAnsi="Times New Roman" w:cs="Times New Roman"/>
          <w:b/>
          <w:sz w:val="24"/>
          <w:szCs w:val="24"/>
          <w:lang w:val="en-US"/>
        </w:rPr>
        <w:t>8</w:t>
      </w:r>
      <w:r w:rsidR="002F42B7" w:rsidRPr="00CE440F">
        <w:rPr>
          <w:rFonts w:ascii="Times New Roman" w:eastAsia="Times New Roman" w:hAnsi="Times New Roman" w:cs="Times New Roman"/>
          <w:b/>
          <w:sz w:val="24"/>
          <w:szCs w:val="24"/>
        </w:rPr>
        <w:t>0</w:t>
      </w:r>
      <w:r w:rsidR="00AB7CAD" w:rsidRPr="00CE440F">
        <w:rPr>
          <w:rFonts w:ascii="Times New Roman" w:eastAsia="Times New Roman" w:hAnsi="Times New Roman" w:cs="Times New Roman"/>
          <w:b/>
          <w:sz w:val="24"/>
          <w:szCs w:val="24"/>
        </w:rPr>
        <w:t> </w:t>
      </w:r>
      <w:r w:rsidR="002F42B7" w:rsidRPr="00CE440F">
        <w:rPr>
          <w:rFonts w:ascii="Times New Roman" w:eastAsia="Times New Roman" w:hAnsi="Times New Roman" w:cs="Times New Roman"/>
          <w:b/>
          <w:sz w:val="24"/>
          <w:szCs w:val="24"/>
        </w:rPr>
        <w:t>9</w:t>
      </w:r>
      <w:r w:rsidR="00AB7CAD" w:rsidRPr="00CE440F">
        <w:rPr>
          <w:rFonts w:ascii="Times New Roman" w:eastAsia="Times New Roman" w:hAnsi="Times New Roman" w:cs="Times New Roman"/>
          <w:b/>
          <w:sz w:val="24"/>
          <w:szCs w:val="24"/>
          <w:lang w:val="en-US"/>
        </w:rPr>
        <w:t>73,5</w:t>
      </w:r>
      <w:r w:rsidR="00A63E79" w:rsidRPr="00CE440F">
        <w:rPr>
          <w:rFonts w:ascii="Times New Roman" w:eastAsia="Times New Roman" w:hAnsi="Times New Roman" w:cs="Times New Roman"/>
          <w:b/>
          <w:sz w:val="24"/>
          <w:szCs w:val="24"/>
        </w:rPr>
        <w:t xml:space="preserve"> </w:t>
      </w:r>
      <w:r w:rsidRPr="00CE440F">
        <w:rPr>
          <w:rFonts w:ascii="Times New Roman" w:eastAsia="Times New Roman" w:hAnsi="Times New Roman" w:cs="Times New Roman"/>
          <w:b/>
          <w:sz w:val="24"/>
          <w:szCs w:val="24"/>
        </w:rPr>
        <w:t xml:space="preserve">хил. лв., </w:t>
      </w:r>
      <w:r w:rsidRPr="00CE440F">
        <w:rPr>
          <w:rFonts w:ascii="Times New Roman" w:eastAsia="Times New Roman" w:hAnsi="Times New Roman" w:cs="Times New Roman"/>
          <w:sz w:val="24"/>
          <w:szCs w:val="24"/>
        </w:rPr>
        <w:t xml:space="preserve">от които </w:t>
      </w:r>
      <w:r w:rsidR="00A63E79" w:rsidRPr="00CE440F">
        <w:rPr>
          <w:rFonts w:ascii="Times New Roman" w:eastAsia="Times New Roman" w:hAnsi="Times New Roman" w:cs="Times New Roman"/>
          <w:sz w:val="24"/>
          <w:szCs w:val="24"/>
        </w:rPr>
        <w:t>3 </w:t>
      </w:r>
      <w:r w:rsidR="00AB7CAD" w:rsidRPr="00CE440F">
        <w:rPr>
          <w:rFonts w:ascii="Times New Roman" w:eastAsia="Times New Roman" w:hAnsi="Times New Roman" w:cs="Times New Roman"/>
          <w:sz w:val="24"/>
          <w:szCs w:val="24"/>
          <w:lang w:val="en-US"/>
        </w:rPr>
        <w:t>200</w:t>
      </w:r>
      <w:r w:rsidR="00AB7CAD" w:rsidRPr="00CE440F">
        <w:rPr>
          <w:rFonts w:ascii="Times New Roman" w:eastAsia="Times New Roman" w:hAnsi="Times New Roman" w:cs="Times New Roman"/>
          <w:sz w:val="24"/>
          <w:szCs w:val="24"/>
        </w:rPr>
        <w:t> </w:t>
      </w:r>
      <w:r w:rsidR="00A63E79" w:rsidRPr="00CE440F">
        <w:rPr>
          <w:rFonts w:ascii="Times New Roman" w:eastAsia="Times New Roman" w:hAnsi="Times New Roman" w:cs="Times New Roman"/>
          <w:sz w:val="24"/>
          <w:szCs w:val="24"/>
        </w:rPr>
        <w:t>862</w:t>
      </w:r>
      <w:r w:rsidR="00AB7CAD" w:rsidRPr="00CE440F">
        <w:rPr>
          <w:rFonts w:ascii="Times New Roman" w:eastAsia="Times New Roman" w:hAnsi="Times New Roman" w:cs="Times New Roman"/>
          <w:sz w:val="24"/>
          <w:szCs w:val="24"/>
          <w:lang w:val="en-US"/>
        </w:rPr>
        <w:t>,5</w:t>
      </w:r>
      <w:r w:rsidR="00A63E79"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хил. лв. са приходи от здравноосигурителни вноски и </w:t>
      </w:r>
      <w:r w:rsidR="00A63E79" w:rsidRPr="00CE440F">
        <w:rPr>
          <w:rFonts w:ascii="Times New Roman" w:eastAsia="Times New Roman" w:hAnsi="Times New Roman" w:cs="Times New Roman"/>
          <w:spacing w:val="4"/>
          <w:sz w:val="24"/>
          <w:szCs w:val="24"/>
        </w:rPr>
        <w:t>1 7</w:t>
      </w:r>
      <w:r w:rsidR="00AB7CAD" w:rsidRPr="00CE440F">
        <w:rPr>
          <w:rFonts w:ascii="Times New Roman" w:eastAsia="Times New Roman" w:hAnsi="Times New Roman" w:cs="Times New Roman"/>
          <w:spacing w:val="4"/>
          <w:sz w:val="24"/>
          <w:szCs w:val="24"/>
          <w:lang w:val="en-US"/>
        </w:rPr>
        <w:t>8</w:t>
      </w:r>
      <w:r w:rsidR="002F42B7" w:rsidRPr="00CE440F">
        <w:rPr>
          <w:rFonts w:ascii="Times New Roman" w:eastAsia="Times New Roman" w:hAnsi="Times New Roman" w:cs="Times New Roman"/>
          <w:spacing w:val="4"/>
          <w:sz w:val="24"/>
          <w:szCs w:val="24"/>
        </w:rPr>
        <w:t>0</w:t>
      </w:r>
      <w:r w:rsidR="00AB7CAD" w:rsidRPr="00CE440F">
        <w:rPr>
          <w:rFonts w:ascii="Times New Roman" w:eastAsia="Times New Roman" w:hAnsi="Times New Roman" w:cs="Times New Roman"/>
          <w:spacing w:val="4"/>
          <w:sz w:val="24"/>
          <w:szCs w:val="24"/>
        </w:rPr>
        <w:t> </w:t>
      </w:r>
      <w:r w:rsidR="002F42B7" w:rsidRPr="00CE440F">
        <w:rPr>
          <w:rFonts w:ascii="Times New Roman" w:eastAsia="Times New Roman" w:hAnsi="Times New Roman" w:cs="Times New Roman"/>
          <w:spacing w:val="4"/>
          <w:sz w:val="24"/>
          <w:szCs w:val="24"/>
        </w:rPr>
        <w:t>1</w:t>
      </w:r>
      <w:r w:rsidR="00FB5EEB" w:rsidRPr="00CE440F">
        <w:rPr>
          <w:rFonts w:ascii="Times New Roman" w:eastAsia="Times New Roman" w:hAnsi="Times New Roman" w:cs="Times New Roman"/>
          <w:spacing w:val="4"/>
          <w:sz w:val="24"/>
          <w:szCs w:val="24"/>
          <w:lang w:val="en-US"/>
        </w:rPr>
        <w:t>11</w:t>
      </w:r>
      <w:r w:rsidR="00A63E79" w:rsidRPr="00CE440F">
        <w:rPr>
          <w:rFonts w:ascii="Times New Roman" w:eastAsia="Times New Roman" w:hAnsi="Times New Roman" w:cs="Times New Roman"/>
          <w:spacing w:val="4"/>
          <w:sz w:val="24"/>
          <w:szCs w:val="24"/>
        </w:rPr>
        <w:t> </w:t>
      </w:r>
      <w:r w:rsidRPr="00CE440F">
        <w:rPr>
          <w:rFonts w:ascii="Times New Roman" w:eastAsia="Times New Roman" w:hAnsi="Times New Roman" w:cs="Times New Roman"/>
          <w:spacing w:val="4"/>
          <w:sz w:val="24"/>
          <w:szCs w:val="24"/>
        </w:rPr>
        <w:t xml:space="preserve">хил. лв. </w:t>
      </w:r>
      <w:r w:rsidRPr="00CE440F">
        <w:rPr>
          <w:rFonts w:ascii="Times New Roman" w:eastAsia="Times New Roman" w:hAnsi="Times New Roman" w:cs="Times New Roman"/>
          <w:sz w:val="24"/>
          <w:szCs w:val="24"/>
        </w:rPr>
        <w:t>са трансфери за здравно осигуряване.</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Разчетените средства са на основата на размер на здравноосигурителната вноска от 8 на сто. Съотношението на заплащане от страна на работодателя и</w:t>
      </w:r>
      <w:r w:rsidR="004D073B" w:rsidRPr="00CE440F">
        <w:rPr>
          <w:rFonts w:ascii="Times New Roman" w:eastAsia="Times New Roman" w:hAnsi="Times New Roman" w:cs="Times New Roman"/>
          <w:sz w:val="24"/>
          <w:szCs w:val="24"/>
        </w:rPr>
        <w:t xml:space="preserve"> </w:t>
      </w:r>
      <w:r w:rsidR="004D073B" w:rsidRPr="00CE440F">
        <w:rPr>
          <w:rFonts w:ascii="Times New Roman" w:eastAsia="Times New Roman" w:hAnsi="Times New Roman" w:cs="Times New Roman"/>
          <w:sz w:val="24"/>
          <w:szCs w:val="24"/>
        </w:rPr>
        <w:lastRenderedPageBreak/>
        <w:t>здравноосигуреното лице за 202</w:t>
      </w:r>
      <w:r w:rsidR="00C3070E"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е 60:40. </w:t>
      </w:r>
      <w:r w:rsidR="004D073B" w:rsidRPr="00CE440F">
        <w:rPr>
          <w:rFonts w:ascii="Times New Roman" w:eastAsia="Times New Roman" w:hAnsi="Times New Roman" w:cs="Times New Roman"/>
          <w:sz w:val="24"/>
          <w:szCs w:val="24"/>
        </w:rPr>
        <w:t>В разчетите за приходите са отразени ефектът от увеличаване на минималния осигурителен доход за самоосигуряващите се лица, в размер на 6</w:t>
      </w:r>
      <w:r w:rsidR="00FB5EEB" w:rsidRPr="00CE440F">
        <w:rPr>
          <w:rFonts w:ascii="Times New Roman" w:eastAsia="Times New Roman" w:hAnsi="Times New Roman" w:cs="Times New Roman"/>
          <w:sz w:val="24"/>
          <w:szCs w:val="24"/>
        </w:rPr>
        <w:t>5</w:t>
      </w:r>
      <w:r w:rsidR="004D073B" w:rsidRPr="00CE440F">
        <w:rPr>
          <w:rFonts w:ascii="Times New Roman" w:eastAsia="Times New Roman" w:hAnsi="Times New Roman" w:cs="Times New Roman"/>
          <w:sz w:val="24"/>
          <w:szCs w:val="24"/>
        </w:rPr>
        <w:t>0 лв. и ефектът върху размера на трансферите за здравно осигуряване от увеличаване на частта от осигурителния доход, върху който държавата внася здравни вноски за лицата, осигурявани за сметка на държавния бюджет от 55 на сто от 2016 г., като всяка следваща година се увеличава с 5 на сто до достигане на минималния осигурителен доход за самоосигуряващите се лица по реда на чл.40, ал.4а от Закона за здравното осигуряване (ЗЗО).</w:t>
      </w:r>
    </w:p>
    <w:p w:rsidR="004D74C7" w:rsidRPr="00CE440F" w:rsidRDefault="004D74C7" w:rsidP="00DC1E52">
      <w:pPr>
        <w:spacing w:before="60" w:after="0" w:line="300" w:lineRule="atLeast"/>
        <w:ind w:firstLine="709"/>
        <w:jc w:val="both"/>
        <w:rPr>
          <w:rFonts w:ascii="Times New Roman" w:eastAsia="Times New Roman" w:hAnsi="Times New Roman" w:cs="Times New Roman"/>
          <w:sz w:val="24"/>
          <w:szCs w:val="24"/>
        </w:rPr>
      </w:pP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 xml:space="preserve">Структурата на здравноосигурителните приходи е следната: </w:t>
      </w:r>
    </w:p>
    <w:p w:rsidR="00CC062A" w:rsidRPr="00CE440F" w:rsidRDefault="00CC062A" w:rsidP="00DC1E52">
      <w:pPr>
        <w:spacing w:before="60" w:after="0" w:line="300" w:lineRule="atLeast"/>
        <w:ind w:firstLine="720"/>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 Здравноосигурителни вноски:</w:t>
      </w:r>
    </w:p>
    <w:p w:rsidR="00CC062A" w:rsidRPr="00CE440F" w:rsidRDefault="004D073B"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За 202</w:t>
      </w:r>
      <w:r w:rsidR="00C97813" w:rsidRPr="00CE440F">
        <w:rPr>
          <w:rFonts w:ascii="Times New Roman" w:eastAsia="Times New Roman" w:hAnsi="Times New Roman" w:cs="Times New Roman"/>
          <w:sz w:val="24"/>
          <w:szCs w:val="24"/>
        </w:rPr>
        <w:t>1</w:t>
      </w:r>
      <w:r w:rsidR="00CC062A" w:rsidRPr="00CE440F">
        <w:rPr>
          <w:rFonts w:ascii="Times New Roman" w:eastAsia="Times New Roman" w:hAnsi="Times New Roman" w:cs="Times New Roman"/>
          <w:sz w:val="24"/>
          <w:szCs w:val="24"/>
        </w:rPr>
        <w:t xml:space="preserve"> г. здравноосигурителните вноски са разчетени в размер на </w:t>
      </w:r>
      <w:r w:rsidR="00C97813" w:rsidRPr="00CE440F">
        <w:rPr>
          <w:rFonts w:ascii="Times New Roman" w:eastAsia="Times New Roman" w:hAnsi="Times New Roman" w:cs="Times New Roman"/>
          <w:sz w:val="24"/>
          <w:szCs w:val="24"/>
        </w:rPr>
        <w:t>3 </w:t>
      </w:r>
      <w:r w:rsidR="00AB7CAD" w:rsidRPr="00CE440F">
        <w:rPr>
          <w:rFonts w:ascii="Times New Roman" w:eastAsia="Times New Roman" w:hAnsi="Times New Roman" w:cs="Times New Roman"/>
          <w:sz w:val="24"/>
          <w:szCs w:val="24"/>
          <w:lang w:val="en-US"/>
        </w:rPr>
        <w:t>200</w:t>
      </w:r>
      <w:r w:rsidR="00AB7CAD" w:rsidRPr="00CE440F">
        <w:rPr>
          <w:rFonts w:ascii="Times New Roman" w:eastAsia="Times New Roman" w:hAnsi="Times New Roman" w:cs="Times New Roman"/>
          <w:sz w:val="24"/>
          <w:szCs w:val="24"/>
        </w:rPr>
        <w:t> </w:t>
      </w:r>
      <w:r w:rsidR="00C97813" w:rsidRPr="00CE440F">
        <w:rPr>
          <w:rFonts w:ascii="Times New Roman" w:eastAsia="Times New Roman" w:hAnsi="Times New Roman" w:cs="Times New Roman"/>
          <w:sz w:val="24"/>
          <w:szCs w:val="24"/>
        </w:rPr>
        <w:t>862</w:t>
      </w:r>
      <w:r w:rsidR="00AB7CAD" w:rsidRPr="00CE440F">
        <w:rPr>
          <w:rFonts w:ascii="Times New Roman" w:eastAsia="Times New Roman" w:hAnsi="Times New Roman" w:cs="Times New Roman"/>
          <w:sz w:val="24"/>
          <w:szCs w:val="24"/>
          <w:lang w:val="en-US"/>
        </w:rPr>
        <w:t>,5</w:t>
      </w:r>
      <w:r w:rsidR="00C97813" w:rsidRPr="00CE440F">
        <w:rPr>
          <w:rFonts w:ascii="Times New Roman" w:eastAsia="Times New Roman" w:hAnsi="Times New Roman" w:cs="Times New Roman"/>
          <w:sz w:val="24"/>
          <w:szCs w:val="24"/>
        </w:rPr>
        <w:t> </w:t>
      </w:r>
      <w:r w:rsidR="00CC062A" w:rsidRPr="00CE440F">
        <w:rPr>
          <w:rFonts w:ascii="Times New Roman" w:eastAsia="Times New Roman" w:hAnsi="Times New Roman" w:cs="Times New Roman"/>
          <w:sz w:val="24"/>
          <w:szCs w:val="24"/>
        </w:rPr>
        <w:t xml:space="preserve">хил. лв. Средствата са с </w:t>
      </w:r>
      <w:r w:rsidR="00AB7CAD" w:rsidRPr="00CE440F">
        <w:rPr>
          <w:rFonts w:ascii="Times New Roman" w:eastAsia="Times New Roman" w:hAnsi="Times New Roman" w:cs="Times New Roman"/>
          <w:sz w:val="24"/>
          <w:szCs w:val="24"/>
          <w:lang w:val="en-US"/>
        </w:rPr>
        <w:t>93</w:t>
      </w:r>
      <w:r w:rsidR="00AB7CAD" w:rsidRPr="00CE440F">
        <w:rPr>
          <w:rFonts w:ascii="Times New Roman" w:eastAsia="Times New Roman" w:hAnsi="Times New Roman" w:cs="Times New Roman"/>
          <w:sz w:val="24"/>
          <w:szCs w:val="24"/>
        </w:rPr>
        <w:t> </w:t>
      </w:r>
      <w:r w:rsidR="00C97813" w:rsidRPr="00CE440F">
        <w:rPr>
          <w:rFonts w:ascii="Times New Roman" w:eastAsia="Times New Roman" w:hAnsi="Times New Roman" w:cs="Times New Roman"/>
          <w:sz w:val="24"/>
          <w:szCs w:val="24"/>
        </w:rPr>
        <w:t>7</w:t>
      </w:r>
      <w:r w:rsidR="00AB7CAD" w:rsidRPr="00CE440F">
        <w:rPr>
          <w:rFonts w:ascii="Times New Roman" w:eastAsia="Times New Roman" w:hAnsi="Times New Roman" w:cs="Times New Roman"/>
          <w:sz w:val="24"/>
          <w:szCs w:val="24"/>
          <w:lang w:val="en-US"/>
        </w:rPr>
        <w:t>28,3</w:t>
      </w:r>
      <w:r w:rsidR="00C97813" w:rsidRPr="00CE440F">
        <w:rPr>
          <w:rFonts w:ascii="Times New Roman" w:eastAsia="Times New Roman" w:hAnsi="Times New Roman" w:cs="Times New Roman"/>
          <w:sz w:val="24"/>
          <w:szCs w:val="24"/>
        </w:rPr>
        <w:t> </w:t>
      </w:r>
      <w:r w:rsidR="00CC062A" w:rsidRPr="00CE440F">
        <w:rPr>
          <w:rFonts w:ascii="Times New Roman" w:eastAsia="Times New Roman" w:hAnsi="Times New Roman" w:cs="Times New Roman"/>
          <w:sz w:val="24"/>
          <w:szCs w:val="24"/>
        </w:rPr>
        <w:t>хил. лв. повече в сравн</w:t>
      </w:r>
      <w:r w:rsidR="00BD4C6A" w:rsidRPr="00CE440F">
        <w:rPr>
          <w:rFonts w:ascii="Times New Roman" w:eastAsia="Times New Roman" w:hAnsi="Times New Roman" w:cs="Times New Roman"/>
          <w:sz w:val="24"/>
          <w:szCs w:val="24"/>
        </w:rPr>
        <w:t>ение със същите в ЗБНЗОК за 20</w:t>
      </w:r>
      <w:r w:rsidR="00C97813" w:rsidRPr="00CE440F">
        <w:rPr>
          <w:rFonts w:ascii="Times New Roman" w:eastAsia="Times New Roman" w:hAnsi="Times New Roman" w:cs="Times New Roman"/>
          <w:sz w:val="24"/>
          <w:szCs w:val="24"/>
        </w:rPr>
        <w:t>20</w:t>
      </w:r>
      <w:r w:rsidR="00CC062A" w:rsidRPr="00CE440F">
        <w:rPr>
          <w:rFonts w:ascii="Times New Roman" w:eastAsia="Times New Roman" w:hAnsi="Times New Roman" w:cs="Times New Roman"/>
          <w:sz w:val="24"/>
          <w:szCs w:val="24"/>
        </w:rPr>
        <w:t> г. и са формирани на база:</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 разчетите за приходите, включени в прогнозите на Националната агенция за приходите (НАП) за здравноосигурителни вноски, събирани от НАП;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стойности за приходите от здравноосигурителни вноски, дължими от НЗОК върху трудовите и извънтрудови възнаграждения и приходи от здравноосигурителни вноски, дължими за периода на неплатен отпуск на служители на НЗОК;</w:t>
      </w:r>
    </w:p>
    <w:p w:rsidR="00CC062A" w:rsidRPr="00CE440F" w:rsidRDefault="00BD4C6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прогнозни данни за 202</w:t>
      </w:r>
      <w:r w:rsidR="002E4EB7" w:rsidRPr="00CE440F">
        <w:rPr>
          <w:rFonts w:ascii="Times New Roman" w:eastAsia="Times New Roman" w:hAnsi="Times New Roman" w:cs="Times New Roman"/>
          <w:sz w:val="24"/>
          <w:szCs w:val="24"/>
        </w:rPr>
        <w:t>1</w:t>
      </w:r>
      <w:r w:rsidR="00CC062A" w:rsidRPr="00CE440F">
        <w:rPr>
          <w:rFonts w:ascii="Times New Roman" w:eastAsia="Times New Roman" w:hAnsi="Times New Roman" w:cs="Times New Roman"/>
          <w:sz w:val="24"/>
          <w:szCs w:val="24"/>
        </w:rPr>
        <w:t> г. на бюджетните предприятия, включени в схемата на централизирано разплащане, на база оценка на приходите от задължителни осигурителни вноски по реда на чл.159 от Закона за публичните финанси (ЗПФ), предоставени от НАП.</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1.1.1. Здравноосигурителни вноски за работници и служители от работодатели са заложени в размер на </w:t>
      </w:r>
      <w:r w:rsidR="001C35B7" w:rsidRPr="00CE440F">
        <w:rPr>
          <w:rFonts w:ascii="Times New Roman" w:eastAsia="Times New Roman" w:hAnsi="Times New Roman" w:cs="Times New Roman"/>
          <w:sz w:val="24"/>
          <w:szCs w:val="24"/>
        </w:rPr>
        <w:t>1 7</w:t>
      </w:r>
      <w:r w:rsidR="001C35B7" w:rsidRPr="00CE440F">
        <w:rPr>
          <w:rFonts w:ascii="Times New Roman" w:eastAsia="Times New Roman" w:hAnsi="Times New Roman" w:cs="Times New Roman"/>
          <w:sz w:val="24"/>
          <w:szCs w:val="24"/>
          <w:lang w:val="en-US"/>
        </w:rPr>
        <w:t>40</w:t>
      </w:r>
      <w:r w:rsidR="001C35B7" w:rsidRPr="00CE440F">
        <w:rPr>
          <w:rFonts w:ascii="Times New Roman" w:eastAsia="Times New Roman" w:hAnsi="Times New Roman" w:cs="Times New Roman"/>
          <w:sz w:val="24"/>
          <w:szCs w:val="24"/>
        </w:rPr>
        <w:t> </w:t>
      </w:r>
      <w:r w:rsidR="001C35B7" w:rsidRPr="00CE440F">
        <w:rPr>
          <w:rFonts w:ascii="Times New Roman" w:eastAsia="Times New Roman" w:hAnsi="Times New Roman" w:cs="Times New Roman"/>
          <w:sz w:val="24"/>
          <w:szCs w:val="24"/>
          <w:lang w:val="en-US"/>
        </w:rPr>
        <w:t>648,5</w:t>
      </w:r>
      <w:r w:rsidR="002E4EB7" w:rsidRPr="00CE440F">
        <w:rPr>
          <w:rFonts w:ascii="Times New Roman" w:eastAsia="Times New Roman" w:hAnsi="Times New Roman" w:cs="Times New Roman"/>
          <w:sz w:val="24"/>
          <w:szCs w:val="24"/>
        </w:rPr>
        <w:t xml:space="preserve"> </w:t>
      </w:r>
      <w:r w:rsidR="00BD4C6A" w:rsidRPr="00CE440F">
        <w:rPr>
          <w:rFonts w:ascii="Times New Roman" w:eastAsia="Times New Roman" w:hAnsi="Times New Roman" w:cs="Times New Roman"/>
          <w:sz w:val="24"/>
          <w:szCs w:val="24"/>
        </w:rPr>
        <w:t>хил. лв., при параметри за 20</w:t>
      </w:r>
      <w:r w:rsidR="002E4EB7"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година в размер на 1 </w:t>
      </w:r>
      <w:r w:rsidR="002E4EB7" w:rsidRPr="00CE440F">
        <w:rPr>
          <w:rFonts w:ascii="Times New Roman" w:eastAsia="Times New Roman" w:hAnsi="Times New Roman" w:cs="Times New Roman"/>
          <w:sz w:val="24"/>
          <w:szCs w:val="24"/>
        </w:rPr>
        <w:t>692 850,5</w:t>
      </w:r>
      <w:r w:rsidRPr="00CE440F">
        <w:rPr>
          <w:rFonts w:ascii="Times New Roman" w:eastAsia="Times New Roman" w:hAnsi="Times New Roman" w:cs="Times New Roman"/>
          <w:sz w:val="24"/>
          <w:szCs w:val="24"/>
        </w:rPr>
        <w:t xml:space="preserve"> хил. лв., което е със </w:t>
      </w:r>
      <w:r w:rsidR="00D83F15" w:rsidRPr="00CE440F">
        <w:rPr>
          <w:rFonts w:ascii="Times New Roman" w:eastAsia="Times New Roman" w:hAnsi="Times New Roman" w:cs="Times New Roman"/>
          <w:sz w:val="24"/>
          <w:szCs w:val="24"/>
          <w:lang w:val="en-US"/>
        </w:rPr>
        <w:t xml:space="preserve">47 798 </w:t>
      </w:r>
      <w:r w:rsidRPr="00CE440F">
        <w:rPr>
          <w:rFonts w:ascii="Times New Roman" w:eastAsia="Times New Roman" w:hAnsi="Times New Roman" w:cs="Times New Roman"/>
          <w:sz w:val="24"/>
          <w:szCs w:val="24"/>
        </w:rPr>
        <w:t>хил. </w:t>
      </w:r>
      <w:r w:rsidR="00BD4C6A" w:rsidRPr="00CE440F">
        <w:rPr>
          <w:rFonts w:ascii="Times New Roman" w:eastAsia="Times New Roman" w:hAnsi="Times New Roman" w:cs="Times New Roman"/>
          <w:sz w:val="24"/>
          <w:szCs w:val="24"/>
        </w:rPr>
        <w:t>лв. повече от заложените за 20</w:t>
      </w:r>
      <w:r w:rsidR="00BE510C"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година. Запазва се размерът на здравноосигурителната вноска в размер на 8 на сто. Не се променя процентното съотношение за внасяне на здравноос</w:t>
      </w:r>
      <w:r w:rsidR="00BD4C6A" w:rsidRPr="00CE440F">
        <w:rPr>
          <w:rFonts w:ascii="Times New Roman" w:eastAsia="Times New Roman" w:hAnsi="Times New Roman" w:cs="Times New Roman"/>
          <w:sz w:val="24"/>
          <w:szCs w:val="24"/>
        </w:rPr>
        <w:t>игурителната вноска, спрямо 20</w:t>
      </w:r>
      <w:r w:rsidR="00BE510C"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xml:space="preserve"> година и се запазва в съотношение 60:40 (работодател/работник).</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1.1.2. Здравноосигурителни вноски от работници и служители (лична вноска) са заложени в размер на </w:t>
      </w:r>
      <w:r w:rsidR="00BE510C" w:rsidRPr="00CE440F">
        <w:rPr>
          <w:rFonts w:ascii="Times New Roman" w:eastAsia="Times New Roman" w:hAnsi="Times New Roman" w:cs="Times New Roman"/>
          <w:sz w:val="24"/>
          <w:szCs w:val="24"/>
        </w:rPr>
        <w:t>1 1</w:t>
      </w:r>
      <w:r w:rsidR="00D83F15" w:rsidRPr="00CE440F">
        <w:rPr>
          <w:rFonts w:ascii="Times New Roman" w:eastAsia="Times New Roman" w:hAnsi="Times New Roman" w:cs="Times New Roman"/>
          <w:sz w:val="24"/>
          <w:szCs w:val="24"/>
          <w:lang w:val="en-US"/>
        </w:rPr>
        <w:t>59</w:t>
      </w:r>
      <w:r w:rsidR="00D83F15" w:rsidRPr="00CE440F">
        <w:rPr>
          <w:rFonts w:ascii="Times New Roman" w:eastAsia="Times New Roman" w:hAnsi="Times New Roman" w:cs="Times New Roman"/>
          <w:sz w:val="24"/>
          <w:szCs w:val="24"/>
        </w:rPr>
        <w:t> </w:t>
      </w:r>
      <w:r w:rsidR="00FB5EEB" w:rsidRPr="00CE440F">
        <w:rPr>
          <w:rFonts w:ascii="Times New Roman" w:eastAsia="Times New Roman" w:hAnsi="Times New Roman" w:cs="Times New Roman"/>
          <w:sz w:val="24"/>
          <w:szCs w:val="24"/>
          <w:lang w:val="en-US"/>
        </w:rPr>
        <w:t>108</w:t>
      </w:r>
      <w:r w:rsidR="00BE510C" w:rsidRPr="00CE440F">
        <w:rPr>
          <w:rFonts w:ascii="Times New Roman" w:eastAsia="Times New Roman" w:hAnsi="Times New Roman" w:cs="Times New Roman"/>
          <w:sz w:val="24"/>
          <w:szCs w:val="24"/>
        </w:rPr>
        <w:t xml:space="preserve"> </w:t>
      </w:r>
      <w:r w:rsidR="00BD4C6A" w:rsidRPr="00CE440F">
        <w:rPr>
          <w:rFonts w:ascii="Times New Roman" w:eastAsia="Times New Roman" w:hAnsi="Times New Roman" w:cs="Times New Roman"/>
          <w:sz w:val="24"/>
          <w:szCs w:val="24"/>
        </w:rPr>
        <w:t>хил. лв., при параметри за 20</w:t>
      </w:r>
      <w:r w:rsidR="00BE510C"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xml:space="preserve"> г. в размер на </w:t>
      </w:r>
      <w:r w:rsidR="00BE510C" w:rsidRPr="00CE440F">
        <w:rPr>
          <w:rFonts w:ascii="Times New Roman" w:eastAsia="Times New Roman" w:hAnsi="Times New Roman" w:cs="Times New Roman"/>
          <w:sz w:val="24"/>
          <w:szCs w:val="24"/>
        </w:rPr>
        <w:t xml:space="preserve">1 111 790,8 хил. лв., </w:t>
      </w:r>
      <w:r w:rsidRPr="00CE440F">
        <w:rPr>
          <w:rFonts w:ascii="Times New Roman" w:eastAsia="Times New Roman" w:hAnsi="Times New Roman" w:cs="Times New Roman"/>
          <w:sz w:val="24"/>
          <w:szCs w:val="24"/>
        </w:rPr>
        <w:t xml:space="preserve">което е с </w:t>
      </w:r>
      <w:r w:rsidR="00D83F15" w:rsidRPr="00CE440F">
        <w:rPr>
          <w:rFonts w:ascii="Times New Roman" w:eastAsia="Times New Roman" w:hAnsi="Times New Roman" w:cs="Times New Roman"/>
          <w:sz w:val="24"/>
          <w:szCs w:val="24"/>
          <w:lang w:val="en-US"/>
        </w:rPr>
        <w:t>47</w:t>
      </w:r>
      <w:r w:rsidR="00BE510C" w:rsidRPr="00CE440F">
        <w:rPr>
          <w:rFonts w:ascii="Times New Roman" w:eastAsia="Times New Roman" w:hAnsi="Times New Roman" w:cs="Times New Roman"/>
          <w:sz w:val="24"/>
          <w:szCs w:val="24"/>
        </w:rPr>
        <w:t> </w:t>
      </w:r>
      <w:r w:rsidR="00D83F15" w:rsidRPr="00CE440F">
        <w:rPr>
          <w:rFonts w:ascii="Times New Roman" w:eastAsia="Times New Roman" w:hAnsi="Times New Roman" w:cs="Times New Roman"/>
          <w:sz w:val="24"/>
          <w:szCs w:val="24"/>
          <w:lang w:val="en-US"/>
        </w:rPr>
        <w:t>317</w:t>
      </w:r>
      <w:r w:rsidR="00BE510C" w:rsidRPr="00CE440F">
        <w:rPr>
          <w:rFonts w:ascii="Times New Roman" w:eastAsia="Times New Roman" w:hAnsi="Times New Roman" w:cs="Times New Roman"/>
          <w:sz w:val="24"/>
          <w:szCs w:val="24"/>
        </w:rPr>
        <w:t xml:space="preserve">,2 хил. лв. </w:t>
      </w:r>
      <w:r w:rsidR="00CB5C7D" w:rsidRPr="00CE440F">
        <w:rPr>
          <w:rFonts w:ascii="Times New Roman" w:eastAsia="Times New Roman" w:hAnsi="Times New Roman" w:cs="Times New Roman"/>
          <w:sz w:val="24"/>
          <w:szCs w:val="24"/>
        </w:rPr>
        <w:t>повече от 20</w:t>
      </w:r>
      <w:r w:rsidR="00BE510C"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г.</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1.1.3. Здравноосигурителни вноски от самонаети (самоосигуряващи се лица) са в размер на </w:t>
      </w:r>
      <w:r w:rsidR="00C52036" w:rsidRPr="00CE440F">
        <w:rPr>
          <w:rFonts w:ascii="Times New Roman" w:eastAsia="Times New Roman" w:hAnsi="Times New Roman" w:cs="Times New Roman"/>
          <w:sz w:val="24"/>
          <w:szCs w:val="24"/>
        </w:rPr>
        <w:t>19</w:t>
      </w:r>
      <w:r w:rsidR="00D83F15" w:rsidRPr="00CE440F">
        <w:rPr>
          <w:rFonts w:ascii="Times New Roman" w:eastAsia="Times New Roman" w:hAnsi="Times New Roman" w:cs="Times New Roman"/>
          <w:sz w:val="24"/>
          <w:szCs w:val="24"/>
          <w:lang w:val="en-US"/>
        </w:rPr>
        <w:t>2</w:t>
      </w:r>
      <w:r w:rsidR="00D83F15" w:rsidRPr="00CE440F">
        <w:rPr>
          <w:rFonts w:ascii="Times New Roman" w:eastAsia="Times New Roman" w:hAnsi="Times New Roman" w:cs="Times New Roman"/>
          <w:sz w:val="24"/>
          <w:szCs w:val="24"/>
        </w:rPr>
        <w:t> </w:t>
      </w:r>
      <w:r w:rsidR="00FB5EEB" w:rsidRPr="00CE440F">
        <w:rPr>
          <w:rFonts w:ascii="Times New Roman" w:eastAsia="Times New Roman" w:hAnsi="Times New Roman" w:cs="Times New Roman"/>
          <w:sz w:val="24"/>
          <w:szCs w:val="24"/>
          <w:lang w:val="en-US"/>
        </w:rPr>
        <w:t>000</w:t>
      </w:r>
      <w:r w:rsidR="00C52036"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w:t>
      </w:r>
      <w:r w:rsidR="00CB5C7D" w:rsidRPr="00CE440F">
        <w:rPr>
          <w:rFonts w:ascii="Times New Roman" w:eastAsia="Times New Roman" w:hAnsi="Times New Roman" w:cs="Times New Roman"/>
          <w:sz w:val="24"/>
          <w:szCs w:val="24"/>
        </w:rPr>
        <w:t>., при параметри за 20</w:t>
      </w:r>
      <w:r w:rsidR="00C52036"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xml:space="preserve"> г. в размер на </w:t>
      </w:r>
      <w:r w:rsidR="00C52036" w:rsidRPr="00CE440F">
        <w:rPr>
          <w:rFonts w:ascii="Times New Roman" w:eastAsia="Times New Roman" w:hAnsi="Times New Roman" w:cs="Times New Roman"/>
          <w:sz w:val="24"/>
          <w:szCs w:val="24"/>
        </w:rPr>
        <w:t>191 787,5 хил. лв.</w:t>
      </w:r>
      <w:r w:rsidR="00CB5C7D" w:rsidRPr="00CE440F">
        <w:rPr>
          <w:rFonts w:ascii="Times New Roman" w:eastAsia="Times New Roman" w:hAnsi="Times New Roman" w:cs="Times New Roman"/>
          <w:sz w:val="24"/>
          <w:szCs w:val="24"/>
        </w:rPr>
        <w:t>, което е с</w:t>
      </w:r>
      <w:r w:rsidRPr="00CE440F">
        <w:rPr>
          <w:rFonts w:ascii="Times New Roman" w:eastAsia="Times New Roman" w:hAnsi="Times New Roman" w:cs="Times New Roman"/>
          <w:sz w:val="24"/>
          <w:szCs w:val="24"/>
        </w:rPr>
        <w:t xml:space="preserve"> </w:t>
      </w:r>
      <w:r w:rsidR="00D83F15" w:rsidRPr="00CE440F">
        <w:rPr>
          <w:rFonts w:ascii="Times New Roman" w:eastAsia="Times New Roman" w:hAnsi="Times New Roman" w:cs="Times New Roman"/>
          <w:sz w:val="24"/>
          <w:szCs w:val="24"/>
          <w:lang w:val="en-US"/>
        </w:rPr>
        <w:t>212</w:t>
      </w:r>
      <w:r w:rsidR="00C52036" w:rsidRPr="00CE440F">
        <w:rPr>
          <w:rFonts w:ascii="Times New Roman" w:eastAsia="Times New Roman" w:hAnsi="Times New Roman" w:cs="Times New Roman"/>
          <w:sz w:val="24"/>
          <w:szCs w:val="24"/>
        </w:rPr>
        <w:t xml:space="preserve">,5 </w:t>
      </w:r>
      <w:r w:rsidRPr="00CE440F">
        <w:rPr>
          <w:rFonts w:ascii="Times New Roman" w:eastAsia="Times New Roman" w:hAnsi="Times New Roman" w:cs="Times New Roman"/>
          <w:sz w:val="24"/>
          <w:szCs w:val="24"/>
        </w:rPr>
        <w:t xml:space="preserve">хил. лв. </w:t>
      </w:r>
      <w:r w:rsidR="00D83F15" w:rsidRPr="00CE440F">
        <w:rPr>
          <w:rFonts w:ascii="Times New Roman" w:eastAsia="Times New Roman" w:hAnsi="Times New Roman" w:cs="Times New Roman"/>
          <w:sz w:val="24"/>
          <w:szCs w:val="24"/>
        </w:rPr>
        <w:t>повече</w:t>
      </w:r>
      <w:r w:rsidR="00CB5C7D" w:rsidRPr="00CE440F">
        <w:rPr>
          <w:rFonts w:ascii="Times New Roman" w:eastAsia="Times New Roman" w:hAnsi="Times New Roman" w:cs="Times New Roman"/>
          <w:sz w:val="24"/>
          <w:szCs w:val="24"/>
        </w:rPr>
        <w:t xml:space="preserve"> от 20</w:t>
      </w:r>
      <w:r w:rsidR="00C52036"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xml:space="preserve"> г. и са прогнозирани от НАП. Минималният осигурителен доход за самоосигуряващите се лица, </w:t>
      </w:r>
      <w:r w:rsidRPr="00CE440F">
        <w:rPr>
          <w:rFonts w:ascii="Times New Roman" w:eastAsia="Times New Roman" w:hAnsi="Times New Roman" w:cs="Times New Roman"/>
          <w:bCs/>
          <w:sz w:val="24"/>
          <w:szCs w:val="24"/>
        </w:rPr>
        <w:t>определен със Закона за бюджета на държавното обществено осигуряване</w:t>
      </w:r>
      <w:r w:rsidRPr="00CE440F">
        <w:rPr>
          <w:rFonts w:ascii="Times New Roman" w:eastAsia="Times New Roman" w:hAnsi="Times New Roman" w:cs="Times New Roman"/>
          <w:sz w:val="24"/>
          <w:szCs w:val="24"/>
        </w:rPr>
        <w:t xml:space="preserve"> е съобразно облагаемия им доход.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1.1.4. Здравноосигурителни вноски за други категории осигурени лица са заложени в размер на </w:t>
      </w:r>
      <w:r w:rsidR="00C52036" w:rsidRPr="00CE440F">
        <w:rPr>
          <w:rFonts w:ascii="Times New Roman" w:eastAsia="Times New Roman" w:hAnsi="Times New Roman" w:cs="Times New Roman"/>
          <w:sz w:val="24"/>
          <w:szCs w:val="24"/>
        </w:rPr>
        <w:t>10</w:t>
      </w:r>
      <w:r w:rsidR="00FB5EEB" w:rsidRPr="00CE440F">
        <w:rPr>
          <w:rFonts w:ascii="Times New Roman" w:eastAsia="Times New Roman" w:hAnsi="Times New Roman" w:cs="Times New Roman"/>
          <w:sz w:val="24"/>
          <w:szCs w:val="24"/>
        </w:rPr>
        <w:t xml:space="preserve">9 106 </w:t>
      </w:r>
      <w:r w:rsidRPr="00CE440F">
        <w:rPr>
          <w:rFonts w:ascii="Times New Roman" w:eastAsia="Times New Roman" w:hAnsi="Times New Roman" w:cs="Times New Roman"/>
          <w:sz w:val="24"/>
          <w:szCs w:val="24"/>
        </w:rPr>
        <w:t>хил. лв. на база отчети на НАП. В този показател са включени вноски от лица, неподлежащи на здравно осигуряване на друго основание по ЗЗО и еднократно внесените суми за възстановяване на здравноосигурителните права на лицата, пребиваващи повече от 183 дни в чужбина.</w:t>
      </w:r>
    </w:p>
    <w:p w:rsidR="009A2252" w:rsidRPr="00CE440F" w:rsidRDefault="009A2252" w:rsidP="00DC1E52">
      <w:pPr>
        <w:spacing w:before="60" w:after="0" w:line="300" w:lineRule="atLeast"/>
        <w:ind w:firstLine="720"/>
        <w:jc w:val="both"/>
        <w:rPr>
          <w:rFonts w:ascii="Times New Roman" w:eastAsia="Times New Roman" w:hAnsi="Times New Roman" w:cs="Times New Roman"/>
          <w:b/>
          <w:sz w:val="24"/>
          <w:szCs w:val="24"/>
        </w:rPr>
      </w:pPr>
    </w:p>
    <w:p w:rsidR="00CC062A" w:rsidRPr="00CE440F" w:rsidRDefault="00CC062A" w:rsidP="00DC1E52">
      <w:pPr>
        <w:spacing w:before="60" w:after="0" w:line="300" w:lineRule="atLeast"/>
        <w:ind w:firstLine="720"/>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lastRenderedPageBreak/>
        <w:t>1.2. Трансфери за здравно осигуряване:</w:t>
      </w:r>
    </w:p>
    <w:p w:rsidR="00CC062A" w:rsidRPr="00CE440F" w:rsidRDefault="00CB5C7D" w:rsidP="00387FCF">
      <w:pPr>
        <w:spacing w:before="60" w:after="0" w:line="300" w:lineRule="atLeast"/>
        <w:ind w:firstLine="720"/>
        <w:jc w:val="both"/>
        <w:rPr>
          <w:rFonts w:ascii="Times New Roman" w:eastAsia="Times New Roman" w:hAnsi="Times New Roman" w:cs="Times New Roman"/>
          <w:spacing w:val="4"/>
          <w:sz w:val="24"/>
          <w:szCs w:val="24"/>
        </w:rPr>
      </w:pPr>
      <w:r w:rsidRPr="00CE440F">
        <w:rPr>
          <w:rFonts w:ascii="Times New Roman" w:eastAsia="Times New Roman" w:hAnsi="Times New Roman" w:cs="Times New Roman"/>
          <w:spacing w:val="4"/>
          <w:sz w:val="24"/>
          <w:szCs w:val="24"/>
        </w:rPr>
        <w:t>В проекта за 202</w:t>
      </w:r>
      <w:r w:rsidR="00387FCF" w:rsidRPr="00CE440F">
        <w:rPr>
          <w:rFonts w:ascii="Times New Roman" w:eastAsia="Times New Roman" w:hAnsi="Times New Roman" w:cs="Times New Roman"/>
          <w:spacing w:val="4"/>
          <w:sz w:val="24"/>
          <w:szCs w:val="24"/>
        </w:rPr>
        <w:t>1</w:t>
      </w:r>
      <w:r w:rsidRPr="00CE440F">
        <w:rPr>
          <w:rFonts w:ascii="Times New Roman" w:eastAsia="Times New Roman" w:hAnsi="Times New Roman" w:cs="Times New Roman"/>
          <w:spacing w:val="4"/>
          <w:sz w:val="24"/>
          <w:szCs w:val="24"/>
          <w:lang w:val="en-US"/>
        </w:rPr>
        <w:t> </w:t>
      </w:r>
      <w:r w:rsidR="00CC062A" w:rsidRPr="00CE440F">
        <w:rPr>
          <w:rFonts w:ascii="Times New Roman" w:eastAsia="Times New Roman" w:hAnsi="Times New Roman" w:cs="Times New Roman"/>
          <w:spacing w:val="4"/>
          <w:sz w:val="24"/>
          <w:szCs w:val="24"/>
        </w:rPr>
        <w:t xml:space="preserve">г. за </w:t>
      </w:r>
      <w:r w:rsidR="00CC062A" w:rsidRPr="00CE440F">
        <w:rPr>
          <w:rFonts w:ascii="Times New Roman" w:eastAsia="Times New Roman" w:hAnsi="Times New Roman" w:cs="Times New Roman"/>
          <w:sz w:val="24"/>
          <w:szCs w:val="24"/>
        </w:rPr>
        <w:t>трансфери за здравно осигуряване</w:t>
      </w:r>
      <w:r w:rsidR="00CC062A" w:rsidRPr="00CE440F">
        <w:rPr>
          <w:rFonts w:ascii="Times New Roman" w:eastAsia="Times New Roman" w:hAnsi="Times New Roman" w:cs="Times New Roman"/>
          <w:spacing w:val="4"/>
          <w:sz w:val="24"/>
          <w:szCs w:val="24"/>
        </w:rPr>
        <w:t xml:space="preserve"> са предвидени </w:t>
      </w:r>
      <w:r w:rsidR="00387FCF" w:rsidRPr="00CE440F">
        <w:rPr>
          <w:rFonts w:ascii="Times New Roman" w:eastAsia="Times New Roman" w:hAnsi="Times New Roman" w:cs="Times New Roman"/>
          <w:spacing w:val="4"/>
          <w:sz w:val="24"/>
          <w:szCs w:val="24"/>
        </w:rPr>
        <w:t>1</w:t>
      </w:r>
      <w:r w:rsidR="00D83F15" w:rsidRPr="00CE440F">
        <w:rPr>
          <w:rFonts w:ascii="Times New Roman" w:eastAsia="Times New Roman" w:hAnsi="Times New Roman" w:cs="Times New Roman"/>
          <w:spacing w:val="4"/>
          <w:sz w:val="24"/>
          <w:szCs w:val="24"/>
        </w:rPr>
        <w:t> </w:t>
      </w:r>
      <w:r w:rsidR="00387FCF" w:rsidRPr="00CE440F">
        <w:rPr>
          <w:rFonts w:ascii="Times New Roman" w:eastAsia="Times New Roman" w:hAnsi="Times New Roman" w:cs="Times New Roman"/>
          <w:spacing w:val="4"/>
          <w:sz w:val="24"/>
          <w:szCs w:val="24"/>
        </w:rPr>
        <w:t>7</w:t>
      </w:r>
      <w:r w:rsidR="00D83F15" w:rsidRPr="00CE440F">
        <w:rPr>
          <w:rFonts w:ascii="Times New Roman" w:eastAsia="Times New Roman" w:hAnsi="Times New Roman" w:cs="Times New Roman"/>
          <w:spacing w:val="4"/>
          <w:sz w:val="24"/>
          <w:szCs w:val="24"/>
        </w:rPr>
        <w:t>8</w:t>
      </w:r>
      <w:r w:rsidR="00CF318F" w:rsidRPr="00CE440F">
        <w:rPr>
          <w:rFonts w:ascii="Times New Roman" w:eastAsia="Times New Roman" w:hAnsi="Times New Roman" w:cs="Times New Roman"/>
          <w:spacing w:val="4"/>
          <w:sz w:val="24"/>
          <w:szCs w:val="24"/>
        </w:rPr>
        <w:t>0</w:t>
      </w:r>
      <w:r w:rsidR="00D83F15" w:rsidRPr="00CE440F">
        <w:rPr>
          <w:rFonts w:ascii="Times New Roman" w:eastAsia="Times New Roman" w:hAnsi="Times New Roman" w:cs="Times New Roman"/>
          <w:spacing w:val="4"/>
          <w:sz w:val="24"/>
          <w:szCs w:val="24"/>
        </w:rPr>
        <w:t> </w:t>
      </w:r>
      <w:r w:rsidR="00CF318F" w:rsidRPr="00CE440F">
        <w:rPr>
          <w:rFonts w:ascii="Times New Roman" w:eastAsia="Times New Roman" w:hAnsi="Times New Roman" w:cs="Times New Roman"/>
          <w:spacing w:val="4"/>
          <w:sz w:val="24"/>
          <w:szCs w:val="24"/>
        </w:rPr>
        <w:t>1</w:t>
      </w:r>
      <w:r w:rsidR="00D83F15" w:rsidRPr="00CE440F">
        <w:rPr>
          <w:rFonts w:ascii="Times New Roman" w:eastAsia="Times New Roman" w:hAnsi="Times New Roman" w:cs="Times New Roman"/>
          <w:spacing w:val="4"/>
          <w:sz w:val="24"/>
          <w:szCs w:val="24"/>
        </w:rPr>
        <w:t>11</w:t>
      </w:r>
      <w:r w:rsidR="00387FCF" w:rsidRPr="00CE440F">
        <w:rPr>
          <w:rFonts w:ascii="Times New Roman" w:eastAsia="Times New Roman" w:hAnsi="Times New Roman" w:cs="Times New Roman"/>
          <w:spacing w:val="4"/>
          <w:sz w:val="24"/>
          <w:szCs w:val="24"/>
        </w:rPr>
        <w:t> </w:t>
      </w:r>
      <w:r w:rsidR="00CC062A" w:rsidRPr="00CE440F">
        <w:rPr>
          <w:rFonts w:ascii="Times New Roman" w:eastAsia="Times New Roman" w:hAnsi="Times New Roman" w:cs="Times New Roman"/>
          <w:spacing w:val="4"/>
          <w:sz w:val="24"/>
          <w:szCs w:val="24"/>
        </w:rPr>
        <w:t>хил. лв. от размера на предвидените здравноосигурителни приходи.</w:t>
      </w:r>
    </w:p>
    <w:p w:rsidR="00FB5EEB" w:rsidRPr="00CE440F" w:rsidRDefault="00CC062A" w:rsidP="00DC1E52">
      <w:pPr>
        <w:spacing w:before="60" w:after="0" w:line="300" w:lineRule="atLeast"/>
        <w:ind w:firstLine="720"/>
        <w:jc w:val="both"/>
        <w:rPr>
          <w:rFonts w:ascii="Times New Roman" w:eastAsia="Times New Roman" w:hAnsi="Times New Roman" w:cs="Times New Roman"/>
          <w:sz w:val="24"/>
          <w:szCs w:val="24"/>
        </w:rPr>
      </w:pPr>
      <w:r w:rsidRPr="00CE440F">
        <w:rPr>
          <w:rFonts w:ascii="Times New Roman" w:eastAsia="Times New Roman" w:hAnsi="Times New Roman" w:cs="Times New Roman"/>
          <w:b/>
          <w:sz w:val="24"/>
          <w:szCs w:val="24"/>
        </w:rPr>
        <w:t>Трансферит</w:t>
      </w:r>
      <w:r w:rsidR="00CB5C7D" w:rsidRPr="00CE440F">
        <w:rPr>
          <w:rFonts w:ascii="Times New Roman" w:eastAsia="Times New Roman" w:hAnsi="Times New Roman" w:cs="Times New Roman"/>
          <w:b/>
          <w:sz w:val="24"/>
          <w:szCs w:val="24"/>
        </w:rPr>
        <w:t>е за здравно осигуряване за 202</w:t>
      </w:r>
      <w:r w:rsidR="00387FCF" w:rsidRPr="00CE440F">
        <w:rPr>
          <w:rFonts w:ascii="Times New Roman" w:eastAsia="Times New Roman" w:hAnsi="Times New Roman" w:cs="Times New Roman"/>
          <w:b/>
          <w:sz w:val="24"/>
          <w:szCs w:val="24"/>
        </w:rPr>
        <w:t>1</w:t>
      </w:r>
      <w:r w:rsidRPr="00CE440F">
        <w:rPr>
          <w:rFonts w:ascii="Times New Roman" w:eastAsia="Times New Roman" w:hAnsi="Times New Roman" w:cs="Times New Roman"/>
          <w:b/>
          <w:sz w:val="24"/>
          <w:szCs w:val="24"/>
        </w:rPr>
        <w:t xml:space="preserve"> г. са разчетени с ръст от </w:t>
      </w:r>
      <w:r w:rsidR="00387FCF" w:rsidRPr="00CE440F">
        <w:rPr>
          <w:rFonts w:ascii="Times New Roman" w:eastAsia="Times New Roman" w:hAnsi="Times New Roman" w:cs="Times New Roman"/>
          <w:b/>
          <w:sz w:val="24"/>
          <w:szCs w:val="24"/>
        </w:rPr>
        <w:t>2</w:t>
      </w:r>
      <w:r w:rsidR="001813D9" w:rsidRPr="00CE440F">
        <w:rPr>
          <w:rFonts w:ascii="Times New Roman" w:eastAsia="Times New Roman" w:hAnsi="Times New Roman" w:cs="Times New Roman"/>
          <w:b/>
          <w:sz w:val="24"/>
          <w:szCs w:val="24"/>
        </w:rPr>
        <w:t>46</w:t>
      </w:r>
      <w:r w:rsidR="00387FCF" w:rsidRPr="00CE440F">
        <w:rPr>
          <w:rFonts w:ascii="Times New Roman" w:eastAsia="Times New Roman" w:hAnsi="Times New Roman" w:cs="Times New Roman"/>
          <w:b/>
          <w:sz w:val="24"/>
          <w:szCs w:val="24"/>
        </w:rPr>
        <w:t> </w:t>
      </w:r>
      <w:r w:rsidR="001813D9" w:rsidRPr="00CE440F">
        <w:rPr>
          <w:rFonts w:ascii="Times New Roman" w:eastAsia="Times New Roman" w:hAnsi="Times New Roman" w:cs="Times New Roman"/>
          <w:b/>
          <w:sz w:val="24"/>
          <w:szCs w:val="24"/>
        </w:rPr>
        <w:t>5</w:t>
      </w:r>
      <w:r w:rsidR="00D83F15" w:rsidRPr="00CE440F">
        <w:rPr>
          <w:rFonts w:ascii="Times New Roman" w:eastAsia="Times New Roman" w:hAnsi="Times New Roman" w:cs="Times New Roman"/>
          <w:b/>
          <w:sz w:val="24"/>
          <w:szCs w:val="24"/>
        </w:rPr>
        <w:t>11</w:t>
      </w:r>
      <w:r w:rsidR="00387FCF" w:rsidRPr="00CE440F">
        <w:rPr>
          <w:rFonts w:ascii="Times New Roman" w:eastAsia="Times New Roman" w:hAnsi="Times New Roman" w:cs="Times New Roman"/>
          <w:b/>
          <w:sz w:val="24"/>
          <w:szCs w:val="24"/>
        </w:rPr>
        <w:t>, 5 хил.</w:t>
      </w:r>
      <w:r w:rsidRPr="00CE440F">
        <w:rPr>
          <w:rFonts w:ascii="Times New Roman" w:eastAsia="Times New Roman" w:hAnsi="Times New Roman" w:cs="Times New Roman"/>
          <w:b/>
          <w:sz w:val="24"/>
          <w:szCs w:val="24"/>
        </w:rPr>
        <w:t> лв.</w:t>
      </w:r>
      <w:r w:rsidRPr="00CE440F">
        <w:rPr>
          <w:rFonts w:ascii="Times New Roman" w:eastAsia="Times New Roman" w:hAnsi="Times New Roman" w:cs="Times New Roman"/>
          <w:sz w:val="24"/>
          <w:szCs w:val="24"/>
        </w:rPr>
        <w:t xml:space="preserve"> </w:t>
      </w:r>
      <w:r w:rsidR="00CB5C7D" w:rsidRPr="00CE440F">
        <w:rPr>
          <w:rFonts w:ascii="Times New Roman" w:eastAsia="Times New Roman" w:hAnsi="Times New Roman" w:cs="Times New Roman"/>
          <w:b/>
          <w:sz w:val="24"/>
          <w:szCs w:val="24"/>
        </w:rPr>
        <w:t>спрямо 20</w:t>
      </w:r>
      <w:r w:rsidR="00387FCF" w:rsidRPr="00CE440F">
        <w:rPr>
          <w:rFonts w:ascii="Times New Roman" w:eastAsia="Times New Roman" w:hAnsi="Times New Roman" w:cs="Times New Roman"/>
          <w:b/>
          <w:sz w:val="24"/>
          <w:szCs w:val="24"/>
        </w:rPr>
        <w:t>20</w:t>
      </w:r>
      <w:r w:rsidRPr="00CE440F">
        <w:rPr>
          <w:rFonts w:ascii="Times New Roman" w:eastAsia="Times New Roman" w:hAnsi="Times New Roman" w:cs="Times New Roman"/>
          <w:b/>
          <w:sz w:val="24"/>
          <w:szCs w:val="24"/>
        </w:rPr>
        <w:t> г.,</w:t>
      </w:r>
      <w:r w:rsidRPr="00CE440F">
        <w:rPr>
          <w:rFonts w:ascii="Times New Roman" w:eastAsia="Times New Roman" w:hAnsi="Times New Roman" w:cs="Times New Roman"/>
          <w:sz w:val="24"/>
          <w:szCs w:val="24"/>
        </w:rPr>
        <w:t xml:space="preserve"> </w:t>
      </w:r>
      <w:r w:rsidR="00FB5EEB" w:rsidRPr="00CE440F">
        <w:rPr>
          <w:rFonts w:ascii="Times New Roman" w:eastAsia="Times New Roman" w:hAnsi="Times New Roman" w:cs="Times New Roman"/>
          <w:sz w:val="24"/>
          <w:szCs w:val="24"/>
        </w:rPr>
        <w:t xml:space="preserve">който се дължи на от увеличаване на частта от осигурителния доход, върху който държавата внася здравни вноски за лицата, осигурявани за сметка на държавния бюджет с 5 на сто (от 55 на сто от 2016 г. и 5 на сто годишно от всяка следваща година до достигане на минималния осигурителен доход за самоосигуряващите се лица по реда на чл.40, ал.4а от ЗЗО) и от дигането на размерът на мин.осигурителен доход до увеличения размер на МРЗ. </w:t>
      </w:r>
    </w:p>
    <w:p w:rsidR="00CC062A" w:rsidRPr="00CE440F" w:rsidRDefault="00CC062A" w:rsidP="009A2252">
      <w:pPr>
        <w:spacing w:after="0" w:line="240" w:lineRule="auto"/>
        <w:ind w:firstLine="720"/>
        <w:jc w:val="both"/>
        <w:rPr>
          <w:rFonts w:ascii="Times New Roman" w:eastAsia="Times New Roman" w:hAnsi="Times New Roman" w:cs="Times New Roman"/>
          <w:spacing w:val="4"/>
          <w:sz w:val="24"/>
          <w:szCs w:val="24"/>
        </w:rPr>
      </w:pPr>
      <w:r w:rsidRPr="00CE440F">
        <w:rPr>
          <w:rFonts w:ascii="Times New Roman" w:eastAsia="Times New Roman" w:hAnsi="Times New Roman" w:cs="Times New Roman"/>
          <w:spacing w:val="4"/>
          <w:sz w:val="24"/>
          <w:szCs w:val="24"/>
        </w:rPr>
        <w:t xml:space="preserve">Прогнозният размер на трансферите за здравно осигуряване за лицата, които </w:t>
      </w:r>
      <w:r w:rsidRPr="00CE440F">
        <w:rPr>
          <w:rFonts w:ascii="Times New Roman" w:eastAsia="Times New Roman" w:hAnsi="Times New Roman" w:cs="Times New Roman"/>
          <w:sz w:val="24"/>
          <w:szCs w:val="24"/>
        </w:rPr>
        <w:t>съгласно чл. 40</w:t>
      </w:r>
      <w:r w:rsidR="00FB5EEB" w:rsidRPr="00CE440F">
        <w:rPr>
          <w:rFonts w:ascii="Times New Roman" w:eastAsia="Times New Roman" w:hAnsi="Times New Roman" w:cs="Times New Roman"/>
          <w:sz w:val="24"/>
          <w:szCs w:val="24"/>
        </w:rPr>
        <w:t>, ал.4а</w:t>
      </w:r>
      <w:r w:rsidR="00FD797B" w:rsidRPr="00CE440F">
        <w:rPr>
          <w:rFonts w:ascii="Times New Roman" w:eastAsia="Times New Roman" w:hAnsi="Times New Roman" w:cs="Times New Roman"/>
          <w:sz w:val="24"/>
          <w:szCs w:val="24"/>
        </w:rPr>
        <w:t xml:space="preserve"> от </w:t>
      </w:r>
      <w:r w:rsidRPr="00CE440F">
        <w:rPr>
          <w:rFonts w:ascii="Times New Roman" w:eastAsia="Times New Roman" w:hAnsi="Times New Roman" w:cs="Times New Roman"/>
          <w:sz w:val="24"/>
          <w:szCs w:val="24"/>
        </w:rPr>
        <w:t>ЗЗО</w:t>
      </w:r>
      <w:r w:rsidRPr="00CE440F">
        <w:rPr>
          <w:rFonts w:ascii="Times New Roman" w:eastAsia="Times New Roman" w:hAnsi="Times New Roman" w:cs="Times New Roman"/>
          <w:spacing w:val="4"/>
          <w:sz w:val="24"/>
          <w:szCs w:val="24"/>
        </w:rPr>
        <w:t xml:space="preserve"> се осигуряват за см</w:t>
      </w:r>
      <w:r w:rsidR="00CB5C7D" w:rsidRPr="00CE440F">
        <w:rPr>
          <w:rFonts w:ascii="Times New Roman" w:eastAsia="Times New Roman" w:hAnsi="Times New Roman" w:cs="Times New Roman"/>
          <w:spacing w:val="4"/>
          <w:sz w:val="24"/>
          <w:szCs w:val="24"/>
        </w:rPr>
        <w:t>етка на държавния бюджет за 202</w:t>
      </w:r>
      <w:r w:rsidR="00387FCF" w:rsidRPr="00CE440F">
        <w:rPr>
          <w:rFonts w:ascii="Times New Roman" w:eastAsia="Times New Roman" w:hAnsi="Times New Roman" w:cs="Times New Roman"/>
          <w:spacing w:val="4"/>
          <w:sz w:val="24"/>
          <w:szCs w:val="24"/>
        </w:rPr>
        <w:t>1</w:t>
      </w:r>
      <w:r w:rsidRPr="00CE440F">
        <w:rPr>
          <w:rFonts w:ascii="Times New Roman" w:eastAsia="Times New Roman" w:hAnsi="Times New Roman" w:cs="Times New Roman"/>
          <w:spacing w:val="4"/>
          <w:sz w:val="24"/>
          <w:szCs w:val="24"/>
        </w:rPr>
        <w:t xml:space="preserve"> г. е на база разчети за натуралните и стойностни показатели по отделните категории лица, на базата на изискана информация от съответните компетентни институции, които предоставят на НЗОК прогнозни данни за броя на осигуряваните лица. </w:t>
      </w:r>
    </w:p>
    <w:p w:rsidR="00CC062A" w:rsidRPr="00CE440F" w:rsidRDefault="00CC062A" w:rsidP="009A2252">
      <w:pPr>
        <w:spacing w:after="0" w:line="240" w:lineRule="auto"/>
        <w:ind w:firstLine="720"/>
        <w:jc w:val="both"/>
        <w:rPr>
          <w:rFonts w:ascii="Times New Roman" w:eastAsia="Times New Roman" w:hAnsi="Times New Roman" w:cs="Times New Roman"/>
          <w:spacing w:val="4"/>
          <w:sz w:val="24"/>
          <w:szCs w:val="24"/>
        </w:rPr>
      </w:pPr>
      <w:r w:rsidRPr="00CE440F">
        <w:rPr>
          <w:rFonts w:ascii="Times New Roman" w:eastAsia="Times New Roman" w:hAnsi="Times New Roman" w:cs="Times New Roman"/>
          <w:spacing w:val="4"/>
          <w:sz w:val="24"/>
          <w:szCs w:val="24"/>
        </w:rPr>
        <w:t>Доходът, на основата на който здравно се осигурява тази категория лица е върху процент от минималния осигурителен доход за самоосигуряващите се лица, както следва.</w:t>
      </w:r>
    </w:p>
    <w:p w:rsidR="00CC062A" w:rsidRPr="00CE440F" w:rsidRDefault="00447AF3" w:rsidP="009A2252">
      <w:pPr>
        <w:numPr>
          <w:ilvl w:val="0"/>
          <w:numId w:val="10"/>
        </w:numPr>
        <w:tabs>
          <w:tab w:val="left" w:pos="1134"/>
        </w:tabs>
        <w:spacing w:after="0" w:line="240" w:lineRule="auto"/>
        <w:ind w:left="0" w:firstLine="714"/>
        <w:contextualSpacing/>
        <w:jc w:val="both"/>
        <w:rPr>
          <w:rFonts w:ascii="Times New Roman" w:eastAsia="Calibri" w:hAnsi="Times New Roman" w:cs="Times New Roman"/>
          <w:spacing w:val="4"/>
          <w:sz w:val="24"/>
          <w:szCs w:val="24"/>
        </w:rPr>
      </w:pPr>
      <w:r w:rsidRPr="00CE440F">
        <w:rPr>
          <w:rFonts w:ascii="Times New Roman" w:eastAsia="Calibri" w:hAnsi="Times New Roman" w:cs="Times New Roman"/>
          <w:spacing w:val="4"/>
          <w:sz w:val="24"/>
          <w:szCs w:val="24"/>
        </w:rPr>
        <w:t>за 2021 г. – 80</w:t>
      </w:r>
      <w:r w:rsidR="00CC062A" w:rsidRPr="00CE440F">
        <w:rPr>
          <w:rFonts w:ascii="Times New Roman" w:eastAsia="Calibri" w:hAnsi="Times New Roman" w:cs="Times New Roman"/>
          <w:spacing w:val="4"/>
          <w:sz w:val="24"/>
          <w:szCs w:val="24"/>
        </w:rPr>
        <w:t xml:space="preserve"> на сто от минималния осигурителен доход за самоосигуряващите се лица;</w:t>
      </w:r>
    </w:p>
    <w:p w:rsidR="00CC062A" w:rsidRPr="00CE440F" w:rsidRDefault="00447AF3" w:rsidP="009A2252">
      <w:pPr>
        <w:numPr>
          <w:ilvl w:val="0"/>
          <w:numId w:val="10"/>
        </w:numPr>
        <w:tabs>
          <w:tab w:val="left" w:pos="1134"/>
        </w:tabs>
        <w:spacing w:after="0" w:line="240" w:lineRule="auto"/>
        <w:ind w:left="0" w:firstLine="714"/>
        <w:contextualSpacing/>
        <w:jc w:val="both"/>
        <w:rPr>
          <w:rFonts w:ascii="Times New Roman" w:eastAsia="Calibri" w:hAnsi="Times New Roman" w:cs="Times New Roman"/>
          <w:spacing w:val="4"/>
          <w:sz w:val="24"/>
          <w:szCs w:val="24"/>
        </w:rPr>
      </w:pPr>
      <w:r w:rsidRPr="00CE440F">
        <w:rPr>
          <w:rFonts w:ascii="Times New Roman" w:eastAsia="Calibri" w:hAnsi="Times New Roman" w:cs="Times New Roman"/>
          <w:spacing w:val="4"/>
          <w:sz w:val="24"/>
          <w:szCs w:val="24"/>
        </w:rPr>
        <w:t xml:space="preserve"> за 2022 г. – 85</w:t>
      </w:r>
      <w:r w:rsidR="00CC062A" w:rsidRPr="00CE440F">
        <w:rPr>
          <w:rFonts w:ascii="Times New Roman" w:eastAsia="Calibri" w:hAnsi="Times New Roman" w:cs="Times New Roman"/>
          <w:spacing w:val="4"/>
          <w:sz w:val="24"/>
          <w:szCs w:val="24"/>
        </w:rPr>
        <w:t xml:space="preserve"> на сто от минималния осигурителен доход за самоосигуряващите се лица. </w:t>
      </w:r>
    </w:p>
    <w:p w:rsidR="004846E5" w:rsidRPr="00CE440F" w:rsidRDefault="004846E5" w:rsidP="009A2252">
      <w:pPr>
        <w:numPr>
          <w:ilvl w:val="0"/>
          <w:numId w:val="10"/>
        </w:numPr>
        <w:tabs>
          <w:tab w:val="left" w:pos="1134"/>
        </w:tabs>
        <w:spacing w:after="0" w:line="240" w:lineRule="auto"/>
        <w:ind w:left="0" w:firstLine="714"/>
        <w:contextualSpacing/>
        <w:jc w:val="both"/>
        <w:rPr>
          <w:rFonts w:ascii="Times New Roman" w:eastAsia="Calibri" w:hAnsi="Times New Roman" w:cs="Times New Roman"/>
          <w:spacing w:val="4"/>
          <w:sz w:val="24"/>
          <w:szCs w:val="24"/>
        </w:rPr>
      </w:pPr>
      <w:r w:rsidRPr="00CE440F">
        <w:rPr>
          <w:rFonts w:ascii="Times New Roman" w:eastAsia="Calibri" w:hAnsi="Times New Roman" w:cs="Times New Roman"/>
          <w:spacing w:val="4"/>
          <w:sz w:val="24"/>
          <w:szCs w:val="24"/>
        </w:rPr>
        <w:t xml:space="preserve">за 2023 г. – </w:t>
      </w:r>
      <w:r w:rsidR="00FD797B" w:rsidRPr="00CE440F">
        <w:rPr>
          <w:rFonts w:ascii="Times New Roman" w:eastAsia="Calibri" w:hAnsi="Times New Roman" w:cs="Times New Roman"/>
          <w:spacing w:val="4"/>
          <w:sz w:val="24"/>
          <w:szCs w:val="24"/>
        </w:rPr>
        <w:t>90</w:t>
      </w:r>
      <w:r w:rsidRPr="00CE440F">
        <w:rPr>
          <w:rFonts w:ascii="Times New Roman" w:eastAsia="Calibri" w:hAnsi="Times New Roman" w:cs="Times New Roman"/>
          <w:spacing w:val="4"/>
          <w:sz w:val="24"/>
          <w:szCs w:val="24"/>
        </w:rPr>
        <w:t xml:space="preserve"> на сто от минималния осигурителен доход за самоосигуряващите се лица;</w:t>
      </w:r>
    </w:p>
    <w:p w:rsidR="004D74C7" w:rsidRPr="00CE440F" w:rsidRDefault="004D74C7" w:rsidP="004846E5">
      <w:pPr>
        <w:tabs>
          <w:tab w:val="left" w:pos="1134"/>
        </w:tabs>
        <w:spacing w:before="60" w:after="0" w:line="300" w:lineRule="atLeast"/>
        <w:ind w:left="714"/>
        <w:contextualSpacing/>
        <w:jc w:val="both"/>
        <w:rPr>
          <w:rFonts w:ascii="Times New Roman" w:eastAsia="Calibri" w:hAnsi="Times New Roman" w:cs="Times New Roman"/>
          <w:spacing w:val="4"/>
          <w:sz w:val="24"/>
          <w:szCs w:val="24"/>
        </w:rPr>
      </w:pPr>
    </w:p>
    <w:p w:rsidR="00CC062A" w:rsidRPr="00CE440F" w:rsidRDefault="00CC062A" w:rsidP="00DC1E52">
      <w:pPr>
        <w:spacing w:before="60" w:after="0" w:line="300" w:lineRule="atLeast"/>
        <w:ind w:firstLine="720"/>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2. Неданъчни приходи</w:t>
      </w:r>
    </w:p>
    <w:p w:rsidR="00CC062A" w:rsidRPr="00CE440F" w:rsidRDefault="00447AF3" w:rsidP="00DC1E52">
      <w:pPr>
        <w:spacing w:before="60" w:after="0" w:line="300" w:lineRule="atLeast"/>
        <w:ind w:firstLine="720"/>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През 202</w:t>
      </w:r>
      <w:r w:rsidR="0002713F" w:rsidRPr="00CE440F">
        <w:rPr>
          <w:rFonts w:ascii="Times New Roman" w:eastAsia="Times New Roman" w:hAnsi="Times New Roman" w:cs="Times New Roman"/>
          <w:sz w:val="24"/>
          <w:szCs w:val="24"/>
        </w:rPr>
        <w:t>1</w:t>
      </w:r>
      <w:r w:rsidR="00CC062A" w:rsidRPr="00CE440F">
        <w:rPr>
          <w:rFonts w:ascii="Times New Roman" w:eastAsia="Times New Roman" w:hAnsi="Times New Roman" w:cs="Times New Roman"/>
          <w:sz w:val="24"/>
          <w:szCs w:val="24"/>
        </w:rPr>
        <w:t xml:space="preserve"> г. за показателя неданъчни приходи са предвидени </w:t>
      </w:r>
      <w:r w:rsidR="0002713F" w:rsidRPr="00CE440F">
        <w:rPr>
          <w:rFonts w:ascii="Times New Roman" w:eastAsia="Times New Roman" w:hAnsi="Times New Roman" w:cs="Times New Roman"/>
          <w:sz w:val="24"/>
          <w:szCs w:val="24"/>
        </w:rPr>
        <w:t xml:space="preserve">20 497,8 </w:t>
      </w:r>
      <w:r w:rsidRPr="00CE440F">
        <w:rPr>
          <w:rFonts w:ascii="Times New Roman" w:eastAsia="Times New Roman" w:hAnsi="Times New Roman" w:cs="Times New Roman"/>
          <w:sz w:val="24"/>
          <w:szCs w:val="24"/>
        </w:rPr>
        <w:t xml:space="preserve">хил. лв., които са с </w:t>
      </w:r>
      <w:r w:rsidR="00CC062A" w:rsidRPr="00CE440F">
        <w:rPr>
          <w:rFonts w:ascii="Times New Roman" w:eastAsia="Times New Roman" w:hAnsi="Times New Roman" w:cs="Times New Roman"/>
          <w:sz w:val="24"/>
          <w:szCs w:val="24"/>
        </w:rPr>
        <w:t> </w:t>
      </w:r>
      <w:r w:rsidR="0002713F" w:rsidRPr="00CE440F">
        <w:rPr>
          <w:rFonts w:ascii="Times New Roman" w:eastAsia="Times New Roman" w:hAnsi="Times New Roman" w:cs="Times New Roman"/>
          <w:sz w:val="24"/>
          <w:szCs w:val="24"/>
        </w:rPr>
        <w:t>73,4</w:t>
      </w:r>
      <w:r w:rsidR="00CC062A" w:rsidRPr="00CE440F">
        <w:rPr>
          <w:rFonts w:ascii="Times New Roman" w:eastAsia="Times New Roman" w:hAnsi="Times New Roman" w:cs="Times New Roman"/>
          <w:sz w:val="24"/>
          <w:szCs w:val="24"/>
        </w:rPr>
        <w:t xml:space="preserve"> хил. лв. </w:t>
      </w:r>
      <w:r w:rsidR="0002713F" w:rsidRPr="00CE440F">
        <w:rPr>
          <w:rFonts w:ascii="Times New Roman" w:eastAsia="Times New Roman" w:hAnsi="Times New Roman" w:cs="Times New Roman"/>
          <w:sz w:val="24"/>
          <w:szCs w:val="24"/>
        </w:rPr>
        <w:t>по-малко</w:t>
      </w:r>
      <w:r w:rsidRPr="00CE440F">
        <w:rPr>
          <w:rFonts w:ascii="Times New Roman" w:eastAsia="Times New Roman" w:hAnsi="Times New Roman" w:cs="Times New Roman"/>
          <w:sz w:val="24"/>
          <w:szCs w:val="24"/>
        </w:rPr>
        <w:t xml:space="preserve"> спрямо заложените през 20</w:t>
      </w:r>
      <w:r w:rsidR="0002713F" w:rsidRPr="00CE440F">
        <w:rPr>
          <w:rFonts w:ascii="Times New Roman" w:eastAsia="Times New Roman" w:hAnsi="Times New Roman" w:cs="Times New Roman"/>
          <w:sz w:val="24"/>
          <w:szCs w:val="24"/>
        </w:rPr>
        <w:t>20</w:t>
      </w:r>
      <w:r w:rsidR="00CC062A" w:rsidRPr="00CE440F">
        <w:rPr>
          <w:rFonts w:ascii="Times New Roman" w:eastAsia="Times New Roman" w:hAnsi="Times New Roman" w:cs="Times New Roman"/>
          <w:sz w:val="24"/>
          <w:szCs w:val="24"/>
        </w:rPr>
        <w:t> година.</w:t>
      </w:r>
    </w:p>
    <w:p w:rsidR="004D74C7" w:rsidRPr="00CE440F" w:rsidRDefault="004D74C7" w:rsidP="00DC1E52">
      <w:pPr>
        <w:spacing w:before="60" w:after="0" w:line="300" w:lineRule="atLeast"/>
        <w:ind w:firstLine="720"/>
        <w:jc w:val="both"/>
        <w:rPr>
          <w:rFonts w:ascii="Times New Roman" w:eastAsia="Times New Roman" w:hAnsi="Times New Roman" w:cs="Times New Roman"/>
          <w:sz w:val="24"/>
          <w:szCs w:val="24"/>
        </w:rPr>
      </w:pPr>
    </w:p>
    <w:p w:rsidR="00CC062A" w:rsidRPr="00CE440F" w:rsidRDefault="00CC062A" w:rsidP="00DC1E52">
      <w:pPr>
        <w:spacing w:before="60" w:after="0" w:line="300" w:lineRule="atLeast"/>
        <w:ind w:firstLine="720"/>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3. Получени трансфери от Министерството на здравеопазването</w:t>
      </w:r>
    </w:p>
    <w:p w:rsidR="00CC062A" w:rsidRPr="00CE440F" w:rsidRDefault="00447AF3" w:rsidP="00DC1E52">
      <w:pPr>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През 202</w:t>
      </w:r>
      <w:r w:rsidR="0002713F" w:rsidRPr="00CE440F">
        <w:rPr>
          <w:rFonts w:ascii="Times New Roman" w:eastAsia="Times New Roman" w:hAnsi="Times New Roman" w:cs="Times New Roman"/>
          <w:sz w:val="24"/>
          <w:szCs w:val="24"/>
          <w:lang w:eastAsia="bg-BG"/>
        </w:rPr>
        <w:t>1</w:t>
      </w:r>
      <w:r w:rsidR="00CC062A" w:rsidRPr="00CE440F">
        <w:rPr>
          <w:rFonts w:ascii="Times New Roman" w:eastAsia="Times New Roman" w:hAnsi="Times New Roman" w:cs="Times New Roman"/>
          <w:sz w:val="24"/>
          <w:szCs w:val="24"/>
          <w:lang w:eastAsia="bg-BG"/>
        </w:rPr>
        <w:t xml:space="preserve"> г. са предвидени като трансфер от Министерство на здравеопазването (МЗ) общо </w:t>
      </w:r>
      <w:r w:rsidRPr="00CE440F">
        <w:rPr>
          <w:rFonts w:ascii="Times New Roman" w:eastAsia="Times New Roman" w:hAnsi="Times New Roman" w:cs="Times New Roman"/>
          <w:sz w:val="24"/>
          <w:szCs w:val="24"/>
          <w:lang w:eastAsia="bg-BG"/>
        </w:rPr>
        <w:t>8</w:t>
      </w:r>
      <w:r w:rsidR="00D51191" w:rsidRPr="00CE440F">
        <w:rPr>
          <w:rFonts w:ascii="Times New Roman" w:eastAsia="Times New Roman" w:hAnsi="Times New Roman" w:cs="Times New Roman"/>
          <w:sz w:val="24"/>
          <w:szCs w:val="24"/>
          <w:lang w:eastAsia="bg-BG"/>
        </w:rPr>
        <w:t>3</w:t>
      </w:r>
      <w:r w:rsidR="00CC062A" w:rsidRPr="00CE440F">
        <w:rPr>
          <w:rFonts w:ascii="Times New Roman" w:eastAsia="Times New Roman" w:hAnsi="Times New Roman" w:cs="Times New Roman"/>
          <w:sz w:val="24"/>
          <w:szCs w:val="24"/>
          <w:lang w:eastAsia="bg-BG"/>
        </w:rPr>
        <w:t> </w:t>
      </w:r>
      <w:r w:rsidR="00D51191" w:rsidRPr="00CE440F">
        <w:rPr>
          <w:rFonts w:ascii="Times New Roman" w:eastAsia="Times New Roman" w:hAnsi="Times New Roman" w:cs="Times New Roman"/>
          <w:sz w:val="24"/>
          <w:szCs w:val="24"/>
          <w:lang w:eastAsia="bg-BG"/>
        </w:rPr>
        <w:t>4</w:t>
      </w:r>
      <w:r w:rsidR="00CC062A" w:rsidRPr="00CE440F">
        <w:rPr>
          <w:rFonts w:ascii="Times New Roman" w:eastAsia="Times New Roman" w:hAnsi="Times New Roman" w:cs="Times New Roman"/>
          <w:sz w:val="24"/>
          <w:szCs w:val="24"/>
          <w:lang w:eastAsia="bg-BG"/>
        </w:rPr>
        <w:t>00,0 хил. лв., които са за финансиране на разходите за: лекарствени продукти – ваксини и дейности по прилагането им по чл. 82, ал. 2, т. 3 от Закона за здравето (ЗЗ); дейности за здравно неосигурени лица, включващи: интензивно лечение, комплексно диспансерно (амбулаторно) наблюдение при пациенти с психиатрични заболявания и комплексно диспансерно (амбулаторно) наблюдение при пациенти с кожно-венерически заболявания по чл. 82, ал. 1, т. 1а, 3а и 6б от ЗЗ; дейности за здравно неосигурени жени по чл. 82, ал. 1, т. 2 от ЗЗ; суми по чл. 37, ал. 6 от ЗЗО; дейности във връзка с лечение на лица до 18</w:t>
      </w:r>
      <w:r w:rsidR="00A178CB" w:rsidRPr="00CE440F">
        <w:rPr>
          <w:rFonts w:ascii="Times New Roman" w:eastAsia="Times New Roman" w:hAnsi="Times New Roman" w:cs="Times New Roman"/>
          <w:sz w:val="24"/>
          <w:szCs w:val="24"/>
          <w:lang w:val="ru-RU" w:eastAsia="bg-BG"/>
        </w:rPr>
        <w:t>-</w:t>
      </w:r>
      <w:r w:rsidR="00CC062A" w:rsidRPr="00CE440F">
        <w:rPr>
          <w:rFonts w:ascii="Times New Roman" w:eastAsia="Times New Roman" w:hAnsi="Times New Roman" w:cs="Times New Roman"/>
          <w:sz w:val="24"/>
          <w:szCs w:val="24"/>
          <w:lang w:eastAsia="bg-BG"/>
        </w:rPr>
        <w:t>годишна възраст по чл.82, ал.1а, 3 и 6 от ЗЗ и дейности във връзка с лечение на лица над 18</w:t>
      </w:r>
      <w:r w:rsidR="00A178CB" w:rsidRPr="00CE440F">
        <w:rPr>
          <w:rFonts w:ascii="Times New Roman" w:eastAsia="Times New Roman" w:hAnsi="Times New Roman" w:cs="Times New Roman"/>
          <w:sz w:val="24"/>
          <w:szCs w:val="24"/>
          <w:lang w:val="ru-RU" w:eastAsia="bg-BG"/>
        </w:rPr>
        <w:t>-</w:t>
      </w:r>
      <w:r w:rsidR="00CC062A" w:rsidRPr="00CE440F">
        <w:rPr>
          <w:rFonts w:ascii="Times New Roman" w:eastAsia="Times New Roman" w:hAnsi="Times New Roman" w:cs="Times New Roman"/>
          <w:sz w:val="24"/>
          <w:szCs w:val="24"/>
          <w:lang w:eastAsia="bg-BG"/>
        </w:rPr>
        <w:t>годишна въ</w:t>
      </w:r>
      <w:r w:rsidRPr="00CE440F">
        <w:rPr>
          <w:rFonts w:ascii="Times New Roman" w:eastAsia="Times New Roman" w:hAnsi="Times New Roman" w:cs="Times New Roman"/>
          <w:sz w:val="24"/>
          <w:szCs w:val="24"/>
          <w:lang w:eastAsia="bg-BG"/>
        </w:rPr>
        <w:t xml:space="preserve">зраст по чл.82, ал.1а и 6 от ЗЗ и </w:t>
      </w:r>
      <w:r w:rsidR="002334AC" w:rsidRPr="00CE440F">
        <w:rPr>
          <w:rFonts w:ascii="Times New Roman" w:hAnsi="Times New Roman"/>
          <w:sz w:val="24"/>
          <w:szCs w:val="24"/>
        </w:rPr>
        <w:t>медицински изделия, помощни средства, приспособления и съоръжения за хората с увреждания извън обхвата на задължителното здравно осигуряване</w:t>
      </w:r>
      <w:r w:rsidRPr="00CE440F">
        <w:rPr>
          <w:rFonts w:ascii="Times New Roman" w:eastAsia="Times New Roman" w:hAnsi="Times New Roman" w:cs="Times New Roman"/>
          <w:sz w:val="24"/>
          <w:szCs w:val="24"/>
          <w:lang w:eastAsia="bg-BG"/>
        </w:rPr>
        <w:t>.</w:t>
      </w:r>
    </w:p>
    <w:p w:rsidR="003C7803" w:rsidRPr="00CE440F" w:rsidRDefault="003C7803" w:rsidP="00DC1E52">
      <w:pPr>
        <w:spacing w:before="60" w:after="0" w:line="300" w:lineRule="atLeast"/>
        <w:ind w:firstLine="709"/>
        <w:jc w:val="both"/>
        <w:rPr>
          <w:rFonts w:ascii="Times New Roman" w:eastAsia="Times New Roman" w:hAnsi="Times New Roman" w:cs="Times New Roman"/>
          <w:sz w:val="24"/>
          <w:szCs w:val="24"/>
          <w:lang w:eastAsia="bg-BG"/>
        </w:rPr>
      </w:pP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caps/>
          <w:sz w:val="24"/>
          <w:szCs w:val="24"/>
        </w:rPr>
      </w:pPr>
      <w:r w:rsidRPr="00CE440F">
        <w:rPr>
          <w:rFonts w:ascii="Times New Roman" w:eastAsia="Times New Roman" w:hAnsi="Times New Roman" w:cs="Times New Roman"/>
          <w:b/>
          <w:caps/>
          <w:sz w:val="24"/>
          <w:szCs w:val="24"/>
        </w:rPr>
        <w:lastRenderedPageBreak/>
        <w:t>ІІ. Разходи и трансфери - ВСИЧКО</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Общо разходи и трансфери - всичко по проекта на бюджет на НЗОК за 20</w:t>
      </w:r>
      <w:r w:rsidR="00FF22A8" w:rsidRPr="00CE440F">
        <w:rPr>
          <w:rFonts w:ascii="Times New Roman" w:eastAsia="Times New Roman" w:hAnsi="Times New Roman" w:cs="Times New Roman"/>
          <w:sz w:val="24"/>
          <w:szCs w:val="24"/>
        </w:rPr>
        <w:t>2</w:t>
      </w:r>
      <w:r w:rsidR="005E4A6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w:t>
      </w:r>
      <w:r w:rsidRPr="00CE440F">
        <w:rPr>
          <w:rFonts w:ascii="Times New Roman" w:eastAsia="Times New Roman" w:hAnsi="Times New Roman" w:cs="Times New Roman"/>
          <w:b/>
          <w:sz w:val="24"/>
          <w:szCs w:val="24"/>
        </w:rPr>
        <w:t xml:space="preserve">на </w:t>
      </w:r>
      <w:r w:rsidR="005E4A6A" w:rsidRPr="00CE440F">
        <w:rPr>
          <w:rFonts w:ascii="Times New Roman" w:eastAsia="Times New Roman" w:hAnsi="Times New Roman" w:cs="Times New Roman"/>
          <w:b/>
          <w:sz w:val="24"/>
          <w:szCs w:val="24"/>
        </w:rPr>
        <w:t>5 0</w:t>
      </w:r>
      <w:r w:rsidR="00D83F15" w:rsidRPr="00CE440F">
        <w:rPr>
          <w:rFonts w:ascii="Times New Roman" w:eastAsia="Times New Roman" w:hAnsi="Times New Roman" w:cs="Times New Roman"/>
          <w:b/>
          <w:sz w:val="24"/>
          <w:szCs w:val="24"/>
        </w:rPr>
        <w:t>8</w:t>
      </w:r>
      <w:r w:rsidR="006A31F9" w:rsidRPr="00CE440F">
        <w:rPr>
          <w:rFonts w:ascii="Times New Roman" w:eastAsia="Times New Roman" w:hAnsi="Times New Roman" w:cs="Times New Roman"/>
          <w:b/>
          <w:sz w:val="24"/>
          <w:szCs w:val="24"/>
        </w:rPr>
        <w:t>4</w:t>
      </w:r>
      <w:r w:rsidR="005E4A6A" w:rsidRPr="00CE440F">
        <w:rPr>
          <w:rFonts w:ascii="Times New Roman" w:eastAsia="Times New Roman" w:hAnsi="Times New Roman" w:cs="Times New Roman"/>
          <w:b/>
          <w:sz w:val="24"/>
          <w:szCs w:val="24"/>
        </w:rPr>
        <w:t> </w:t>
      </w:r>
      <w:r w:rsidR="006A31F9" w:rsidRPr="00CE440F">
        <w:rPr>
          <w:rFonts w:ascii="Times New Roman" w:eastAsia="Times New Roman" w:hAnsi="Times New Roman" w:cs="Times New Roman"/>
          <w:b/>
          <w:sz w:val="24"/>
          <w:szCs w:val="24"/>
        </w:rPr>
        <w:t>8</w:t>
      </w:r>
      <w:r w:rsidR="00D83F15" w:rsidRPr="00CE440F">
        <w:rPr>
          <w:rFonts w:ascii="Times New Roman" w:eastAsia="Times New Roman" w:hAnsi="Times New Roman" w:cs="Times New Roman"/>
          <w:b/>
          <w:sz w:val="24"/>
          <w:szCs w:val="24"/>
        </w:rPr>
        <w:t xml:space="preserve">71, 3 </w:t>
      </w:r>
      <w:r w:rsidRPr="00CE440F">
        <w:rPr>
          <w:rFonts w:ascii="Times New Roman" w:eastAsia="Times New Roman" w:hAnsi="Times New Roman" w:cs="Times New Roman"/>
          <w:b/>
          <w:sz w:val="24"/>
          <w:szCs w:val="24"/>
        </w:rPr>
        <w:t>хил. лв., в т.ч</w:t>
      </w:r>
      <w:r w:rsidRPr="00CE440F">
        <w:rPr>
          <w:rFonts w:ascii="Times New Roman" w:eastAsia="Times New Roman" w:hAnsi="Times New Roman" w:cs="Times New Roman"/>
          <w:sz w:val="24"/>
          <w:szCs w:val="24"/>
        </w:rPr>
        <w:t>.:</w:t>
      </w:r>
    </w:p>
    <w:p w:rsidR="00CC062A" w:rsidRPr="00CE440F" w:rsidRDefault="00CC062A" w:rsidP="00DC1E52">
      <w:pPr>
        <w:keepNext/>
        <w:spacing w:before="60" w:after="0" w:line="300" w:lineRule="atLeast"/>
        <w:ind w:firstLine="709"/>
        <w:jc w:val="both"/>
        <w:rPr>
          <w:rFonts w:ascii="Times New Roman Bold" w:eastAsia="Times New Roman" w:hAnsi="Times New Roman Bold" w:cs="Times New Roman"/>
          <w:b/>
          <w:smallCaps/>
          <w:sz w:val="24"/>
          <w:szCs w:val="24"/>
        </w:rPr>
      </w:pPr>
      <w:r w:rsidRPr="00CE440F">
        <w:rPr>
          <w:rFonts w:ascii="Times New Roman" w:eastAsia="Times New Roman" w:hAnsi="Times New Roman" w:cs="Times New Roman"/>
          <w:b/>
          <w:smallCaps/>
          <w:sz w:val="24"/>
          <w:szCs w:val="24"/>
        </w:rPr>
        <w:t>1.</w:t>
      </w:r>
      <w:r w:rsidRPr="00CE440F">
        <w:rPr>
          <w:rFonts w:ascii="Calibri" w:eastAsia="Times New Roman" w:hAnsi="Calibri" w:cs="Times New Roman"/>
          <w:b/>
          <w:smallCaps/>
          <w:sz w:val="24"/>
          <w:szCs w:val="24"/>
        </w:rPr>
        <w:t xml:space="preserve"> </w:t>
      </w:r>
      <w:r w:rsidRPr="00CE440F">
        <w:rPr>
          <w:rFonts w:ascii="Times New Roman Bold" w:eastAsia="Times New Roman" w:hAnsi="Times New Roman Bold" w:cs="Times New Roman"/>
          <w:b/>
          <w:smallCaps/>
          <w:sz w:val="24"/>
          <w:szCs w:val="24"/>
        </w:rPr>
        <w:t>Разходи</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Общо разходите по проекта на бюджет на НЗОК за 20</w:t>
      </w:r>
      <w:r w:rsidR="00FF22A8" w:rsidRPr="00CE440F">
        <w:rPr>
          <w:rFonts w:ascii="Times New Roman" w:eastAsia="Times New Roman" w:hAnsi="Times New Roman" w:cs="Times New Roman"/>
          <w:sz w:val="24"/>
          <w:szCs w:val="24"/>
        </w:rPr>
        <w:t>2</w:t>
      </w:r>
      <w:r w:rsidR="005E4A6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на </w:t>
      </w:r>
      <w:r w:rsidR="005E4A6A" w:rsidRPr="00CE440F">
        <w:rPr>
          <w:rFonts w:ascii="Times New Roman" w:eastAsia="Times New Roman" w:hAnsi="Times New Roman" w:cs="Times New Roman"/>
          <w:b/>
          <w:sz w:val="24"/>
          <w:szCs w:val="24"/>
        </w:rPr>
        <w:t>5 0</w:t>
      </w:r>
      <w:r w:rsidR="006A31F9" w:rsidRPr="00CE440F">
        <w:rPr>
          <w:rFonts w:ascii="Times New Roman" w:eastAsia="Times New Roman" w:hAnsi="Times New Roman" w:cs="Times New Roman"/>
          <w:b/>
          <w:sz w:val="24"/>
          <w:szCs w:val="24"/>
        </w:rPr>
        <w:t>79</w:t>
      </w:r>
      <w:r w:rsidR="005E4A6A" w:rsidRPr="00CE440F">
        <w:rPr>
          <w:rFonts w:ascii="Times New Roman" w:eastAsia="Times New Roman" w:hAnsi="Times New Roman" w:cs="Times New Roman"/>
          <w:b/>
          <w:sz w:val="24"/>
          <w:szCs w:val="24"/>
        </w:rPr>
        <w:t> </w:t>
      </w:r>
      <w:r w:rsidR="006A31F9" w:rsidRPr="00CE440F">
        <w:rPr>
          <w:rFonts w:ascii="Times New Roman" w:eastAsia="Times New Roman" w:hAnsi="Times New Roman" w:cs="Times New Roman"/>
          <w:b/>
          <w:sz w:val="24"/>
          <w:szCs w:val="24"/>
        </w:rPr>
        <w:t>2</w:t>
      </w:r>
      <w:r w:rsidR="00D83F15" w:rsidRPr="00CE440F">
        <w:rPr>
          <w:rFonts w:ascii="Times New Roman" w:eastAsia="Times New Roman" w:hAnsi="Times New Roman" w:cs="Times New Roman"/>
          <w:b/>
          <w:sz w:val="24"/>
          <w:szCs w:val="24"/>
        </w:rPr>
        <w:t>40</w:t>
      </w:r>
      <w:r w:rsidR="005E4A6A" w:rsidRPr="00CE440F">
        <w:rPr>
          <w:rFonts w:ascii="Times New Roman" w:eastAsia="Times New Roman" w:hAnsi="Times New Roman" w:cs="Times New Roman"/>
          <w:b/>
          <w:sz w:val="24"/>
          <w:szCs w:val="24"/>
        </w:rPr>
        <w:t>,</w:t>
      </w:r>
      <w:r w:rsidR="00D83F15" w:rsidRPr="00CE440F">
        <w:rPr>
          <w:rFonts w:ascii="Times New Roman" w:eastAsia="Times New Roman" w:hAnsi="Times New Roman" w:cs="Times New Roman"/>
          <w:b/>
          <w:sz w:val="24"/>
          <w:szCs w:val="24"/>
        </w:rPr>
        <w:t>4</w:t>
      </w:r>
      <w:r w:rsidR="005E4A6A" w:rsidRPr="00CE440F">
        <w:rPr>
          <w:rFonts w:ascii="Times New Roman" w:eastAsia="Times New Roman" w:hAnsi="Times New Roman" w:cs="Times New Roman"/>
          <w:b/>
          <w:sz w:val="24"/>
          <w:szCs w:val="24"/>
        </w:rPr>
        <w:t xml:space="preserve"> </w:t>
      </w:r>
      <w:r w:rsidRPr="00CE440F">
        <w:rPr>
          <w:rFonts w:ascii="Times New Roman" w:eastAsia="Times New Roman" w:hAnsi="Times New Roman" w:cs="Times New Roman"/>
          <w:b/>
          <w:sz w:val="24"/>
          <w:szCs w:val="24"/>
        </w:rPr>
        <w:t>хил. лв.</w:t>
      </w:r>
      <w:r w:rsidRPr="00CE440F">
        <w:rPr>
          <w:rFonts w:ascii="Times New Roman" w:eastAsia="Times New Roman" w:hAnsi="Times New Roman" w:cs="Times New Roman"/>
          <w:sz w:val="24"/>
          <w:szCs w:val="24"/>
        </w:rPr>
        <w:t xml:space="preserve"> или с </w:t>
      </w:r>
      <w:r w:rsidR="00D83F15" w:rsidRPr="00CE440F">
        <w:rPr>
          <w:rFonts w:ascii="Times New Roman" w:eastAsia="Times New Roman" w:hAnsi="Times New Roman" w:cs="Times New Roman"/>
          <w:sz w:val="24"/>
          <w:szCs w:val="24"/>
        </w:rPr>
        <w:t>3</w:t>
      </w:r>
      <w:r w:rsidR="006A31F9" w:rsidRPr="00CE440F">
        <w:rPr>
          <w:rFonts w:ascii="Times New Roman" w:eastAsia="Times New Roman" w:hAnsi="Times New Roman" w:cs="Times New Roman"/>
          <w:sz w:val="24"/>
          <w:szCs w:val="24"/>
        </w:rPr>
        <w:t>38 220</w:t>
      </w:r>
      <w:r w:rsidR="005E4A6A" w:rsidRPr="00CE440F">
        <w:rPr>
          <w:rFonts w:ascii="Times New Roman" w:eastAsia="Times New Roman" w:hAnsi="Times New Roman" w:cs="Times New Roman"/>
          <w:sz w:val="24"/>
          <w:szCs w:val="24"/>
        </w:rPr>
        <w:t>,</w:t>
      </w:r>
      <w:r w:rsidR="00D83F15" w:rsidRPr="00CE440F">
        <w:rPr>
          <w:rFonts w:ascii="Times New Roman" w:eastAsia="Times New Roman" w:hAnsi="Times New Roman" w:cs="Times New Roman"/>
          <w:sz w:val="24"/>
          <w:szCs w:val="24"/>
        </w:rPr>
        <w:t>7</w:t>
      </w:r>
      <w:r w:rsidR="005E4A6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 повече спрямо ЗБНЗОК за 20</w:t>
      </w:r>
      <w:r w:rsidR="005E4A6A"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г. По видове разходи увеличението е разпределено, както следва:</w:t>
      </w: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 Текущи разходи</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Общо текущите разходи по проекта за 20</w:t>
      </w:r>
      <w:r w:rsidR="00FF22A8" w:rsidRPr="00CE440F">
        <w:rPr>
          <w:rFonts w:ascii="Times New Roman" w:eastAsia="Times New Roman" w:hAnsi="Times New Roman" w:cs="Times New Roman"/>
          <w:sz w:val="24"/>
          <w:szCs w:val="24"/>
        </w:rPr>
        <w:t>2</w:t>
      </w:r>
      <w:r w:rsidR="005E4A6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на </w:t>
      </w:r>
      <w:r w:rsidR="005E4A6A" w:rsidRPr="00CE440F">
        <w:rPr>
          <w:rFonts w:ascii="Times New Roman" w:eastAsia="Times New Roman" w:hAnsi="Times New Roman" w:cs="Times New Roman"/>
          <w:b/>
          <w:sz w:val="24"/>
          <w:szCs w:val="24"/>
        </w:rPr>
        <w:t xml:space="preserve">4 </w:t>
      </w:r>
      <w:r w:rsidR="00D83F15" w:rsidRPr="00CE440F">
        <w:rPr>
          <w:rFonts w:ascii="Times New Roman" w:eastAsia="Times New Roman" w:hAnsi="Times New Roman" w:cs="Times New Roman"/>
          <w:b/>
          <w:sz w:val="24"/>
          <w:szCs w:val="24"/>
        </w:rPr>
        <w:t>92</w:t>
      </w:r>
      <w:r w:rsidR="006A31F9" w:rsidRPr="00CE440F">
        <w:rPr>
          <w:rFonts w:ascii="Times New Roman" w:eastAsia="Times New Roman" w:hAnsi="Times New Roman" w:cs="Times New Roman"/>
          <w:b/>
          <w:sz w:val="24"/>
          <w:szCs w:val="24"/>
        </w:rPr>
        <w:t>4</w:t>
      </w:r>
      <w:r w:rsidR="005E4A6A" w:rsidRPr="00CE440F">
        <w:rPr>
          <w:rFonts w:ascii="Times New Roman" w:eastAsia="Times New Roman" w:hAnsi="Times New Roman" w:cs="Times New Roman"/>
          <w:b/>
          <w:sz w:val="24"/>
          <w:szCs w:val="24"/>
        </w:rPr>
        <w:t> </w:t>
      </w:r>
      <w:r w:rsidR="006A31F9" w:rsidRPr="00CE440F">
        <w:rPr>
          <w:rFonts w:ascii="Times New Roman" w:eastAsia="Times New Roman" w:hAnsi="Times New Roman" w:cs="Times New Roman"/>
          <w:b/>
          <w:sz w:val="24"/>
          <w:szCs w:val="24"/>
        </w:rPr>
        <w:t>811</w:t>
      </w:r>
      <w:r w:rsidR="005E4A6A" w:rsidRPr="00CE440F">
        <w:rPr>
          <w:rFonts w:ascii="Times New Roman" w:eastAsia="Times New Roman" w:hAnsi="Times New Roman" w:cs="Times New Roman"/>
          <w:b/>
          <w:sz w:val="24"/>
          <w:szCs w:val="24"/>
        </w:rPr>
        <w:t>,</w:t>
      </w:r>
      <w:r w:rsidR="00D83F15" w:rsidRPr="00CE440F">
        <w:rPr>
          <w:rFonts w:ascii="Times New Roman" w:eastAsia="Times New Roman" w:hAnsi="Times New Roman" w:cs="Times New Roman"/>
          <w:b/>
          <w:sz w:val="24"/>
          <w:szCs w:val="24"/>
        </w:rPr>
        <w:t>2</w:t>
      </w:r>
      <w:r w:rsidR="005E4A6A" w:rsidRPr="00CE440F">
        <w:rPr>
          <w:rFonts w:ascii="Times New Roman" w:eastAsia="Times New Roman" w:hAnsi="Times New Roman" w:cs="Times New Roman"/>
          <w:b/>
          <w:sz w:val="24"/>
          <w:szCs w:val="24"/>
        </w:rPr>
        <w:t xml:space="preserve"> хил</w:t>
      </w:r>
      <w:r w:rsidRPr="00CE440F">
        <w:rPr>
          <w:rFonts w:ascii="Times New Roman" w:eastAsia="Times New Roman" w:hAnsi="Times New Roman" w:cs="Times New Roman"/>
          <w:b/>
          <w:sz w:val="24"/>
          <w:szCs w:val="24"/>
        </w:rPr>
        <w:t>. лв.,</w:t>
      </w:r>
      <w:r w:rsidRPr="00CE440F">
        <w:rPr>
          <w:rFonts w:ascii="Times New Roman" w:eastAsia="Times New Roman" w:hAnsi="Times New Roman" w:cs="Times New Roman"/>
          <w:sz w:val="24"/>
          <w:szCs w:val="24"/>
        </w:rPr>
        <w:t xml:space="preserve"> или увеличение с </w:t>
      </w:r>
      <w:r w:rsidR="00912F05" w:rsidRPr="00CE440F">
        <w:rPr>
          <w:rFonts w:ascii="Times New Roman" w:eastAsia="Times New Roman" w:hAnsi="Times New Roman" w:cs="Times New Roman"/>
          <w:sz w:val="24"/>
          <w:szCs w:val="24"/>
        </w:rPr>
        <w:t>3</w:t>
      </w:r>
      <w:r w:rsidR="006A31F9" w:rsidRPr="00CE440F">
        <w:rPr>
          <w:rFonts w:ascii="Times New Roman" w:eastAsia="Times New Roman" w:hAnsi="Times New Roman" w:cs="Times New Roman"/>
          <w:sz w:val="24"/>
          <w:szCs w:val="24"/>
        </w:rPr>
        <w:t>28</w:t>
      </w:r>
      <w:r w:rsidR="005E4A6A" w:rsidRPr="00CE440F">
        <w:rPr>
          <w:rFonts w:ascii="Times New Roman" w:eastAsia="Times New Roman" w:hAnsi="Times New Roman" w:cs="Times New Roman"/>
          <w:sz w:val="24"/>
          <w:szCs w:val="24"/>
        </w:rPr>
        <w:t> </w:t>
      </w:r>
      <w:r w:rsidR="006A31F9" w:rsidRPr="00CE440F">
        <w:rPr>
          <w:rFonts w:ascii="Times New Roman" w:eastAsia="Times New Roman" w:hAnsi="Times New Roman" w:cs="Times New Roman"/>
          <w:sz w:val="24"/>
          <w:szCs w:val="24"/>
        </w:rPr>
        <w:t>013</w:t>
      </w:r>
      <w:r w:rsidR="005E4A6A" w:rsidRPr="00CE440F">
        <w:rPr>
          <w:rFonts w:ascii="Times New Roman" w:eastAsia="Times New Roman" w:hAnsi="Times New Roman" w:cs="Times New Roman"/>
          <w:sz w:val="24"/>
          <w:szCs w:val="24"/>
        </w:rPr>
        <w:t>,</w:t>
      </w:r>
      <w:r w:rsidR="00912F05" w:rsidRPr="00CE440F">
        <w:rPr>
          <w:rFonts w:ascii="Times New Roman" w:eastAsia="Times New Roman" w:hAnsi="Times New Roman" w:cs="Times New Roman"/>
          <w:sz w:val="24"/>
          <w:szCs w:val="24"/>
        </w:rPr>
        <w:t>5</w:t>
      </w:r>
      <w:r w:rsidR="005E4A6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 спрямо ЗБНЗОК за 20</w:t>
      </w:r>
      <w:r w:rsidR="005E4A6A"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г.</w:t>
      </w: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1.1.1. Разходи за персонал</w:t>
      </w:r>
    </w:p>
    <w:p w:rsidR="00C00C30" w:rsidRPr="00CE440F" w:rsidRDefault="00CC062A" w:rsidP="00DC1E52">
      <w:pPr>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rPr>
        <w:t>Разходите за персонал по проекта за 20</w:t>
      </w:r>
      <w:r w:rsidR="00FF22A8" w:rsidRPr="00CE440F">
        <w:rPr>
          <w:rFonts w:ascii="Times New Roman" w:eastAsia="Times New Roman" w:hAnsi="Times New Roman" w:cs="Times New Roman"/>
          <w:sz w:val="24"/>
          <w:szCs w:val="24"/>
        </w:rPr>
        <w:t>2</w:t>
      </w:r>
      <w:r w:rsidR="005E4A6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на </w:t>
      </w:r>
      <w:r w:rsidR="005E4A6A" w:rsidRPr="00CE440F">
        <w:rPr>
          <w:rFonts w:ascii="Times New Roman" w:eastAsia="Times New Roman" w:hAnsi="Times New Roman" w:cs="Times New Roman"/>
          <w:b/>
          <w:sz w:val="24"/>
          <w:szCs w:val="24"/>
        </w:rPr>
        <w:t>5</w:t>
      </w:r>
      <w:r w:rsidR="00912F05" w:rsidRPr="00CE440F">
        <w:rPr>
          <w:rFonts w:ascii="Times New Roman" w:eastAsia="Times New Roman" w:hAnsi="Times New Roman" w:cs="Times New Roman"/>
          <w:b/>
          <w:sz w:val="24"/>
          <w:szCs w:val="24"/>
        </w:rPr>
        <w:t>6</w:t>
      </w:r>
      <w:r w:rsidR="005E4A6A" w:rsidRPr="00CE440F">
        <w:rPr>
          <w:rFonts w:ascii="Times New Roman" w:eastAsia="Times New Roman" w:hAnsi="Times New Roman" w:cs="Times New Roman"/>
          <w:b/>
          <w:sz w:val="24"/>
          <w:szCs w:val="24"/>
        </w:rPr>
        <w:t> 0</w:t>
      </w:r>
      <w:r w:rsidR="00912F05" w:rsidRPr="00CE440F">
        <w:rPr>
          <w:rFonts w:ascii="Times New Roman" w:eastAsia="Times New Roman" w:hAnsi="Times New Roman" w:cs="Times New Roman"/>
          <w:b/>
          <w:sz w:val="24"/>
          <w:szCs w:val="24"/>
        </w:rPr>
        <w:t>51,1</w:t>
      </w:r>
      <w:r w:rsidR="00C45943" w:rsidRPr="00CE440F">
        <w:rPr>
          <w:rFonts w:ascii="Times New Roman" w:eastAsia="Times New Roman" w:hAnsi="Times New Roman" w:cs="Times New Roman"/>
          <w:b/>
          <w:sz w:val="24"/>
          <w:szCs w:val="24"/>
        </w:rPr>
        <w:t> </w:t>
      </w:r>
      <w:r w:rsidRPr="00CE440F">
        <w:rPr>
          <w:rFonts w:ascii="Times New Roman" w:eastAsia="Times New Roman" w:hAnsi="Times New Roman" w:cs="Times New Roman"/>
          <w:b/>
          <w:sz w:val="24"/>
          <w:szCs w:val="24"/>
        </w:rPr>
        <w:t>хил.</w:t>
      </w:r>
      <w:r w:rsidR="00C45943" w:rsidRPr="00CE440F">
        <w:rPr>
          <w:rFonts w:ascii="Times New Roman" w:eastAsia="Times New Roman" w:hAnsi="Times New Roman" w:cs="Times New Roman"/>
          <w:b/>
          <w:sz w:val="24"/>
          <w:szCs w:val="24"/>
        </w:rPr>
        <w:t> </w:t>
      </w:r>
      <w:r w:rsidRPr="00CE440F">
        <w:rPr>
          <w:rFonts w:ascii="Times New Roman" w:eastAsia="Times New Roman" w:hAnsi="Times New Roman" w:cs="Times New Roman"/>
          <w:b/>
          <w:sz w:val="24"/>
          <w:szCs w:val="24"/>
        </w:rPr>
        <w:t>лв</w:t>
      </w:r>
      <w:r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lang w:eastAsia="bg-BG"/>
        </w:rPr>
        <w:t>В заложените разходи за 20</w:t>
      </w:r>
      <w:r w:rsidR="00E44785" w:rsidRPr="00CE440F">
        <w:rPr>
          <w:rFonts w:ascii="Times New Roman" w:eastAsia="Times New Roman" w:hAnsi="Times New Roman" w:cs="Times New Roman"/>
          <w:sz w:val="24"/>
          <w:szCs w:val="24"/>
          <w:lang w:eastAsia="bg-BG"/>
        </w:rPr>
        <w:t>2</w:t>
      </w:r>
      <w:r w:rsidR="001102BD" w:rsidRPr="00CE440F">
        <w:rPr>
          <w:rFonts w:ascii="Times New Roman" w:eastAsia="Times New Roman" w:hAnsi="Times New Roman" w:cs="Times New Roman"/>
          <w:sz w:val="24"/>
          <w:szCs w:val="24"/>
          <w:lang w:eastAsia="bg-BG"/>
        </w:rPr>
        <w:t>1</w:t>
      </w:r>
      <w:r w:rsidR="009A2252" w:rsidRPr="00CE440F">
        <w:rPr>
          <w:rFonts w:ascii="Times New Roman" w:eastAsia="Times New Roman" w:hAnsi="Times New Roman" w:cs="Times New Roman"/>
          <w:sz w:val="24"/>
          <w:szCs w:val="24"/>
          <w:lang w:eastAsia="bg-BG"/>
        </w:rPr>
        <w:t> </w:t>
      </w:r>
      <w:r w:rsidRPr="00CE440F">
        <w:rPr>
          <w:rFonts w:ascii="Times New Roman" w:eastAsia="Times New Roman" w:hAnsi="Times New Roman" w:cs="Times New Roman"/>
          <w:sz w:val="24"/>
          <w:szCs w:val="24"/>
          <w:lang w:eastAsia="bg-BG"/>
        </w:rPr>
        <w:t xml:space="preserve">г. </w:t>
      </w:r>
      <w:r w:rsidR="00315DBA" w:rsidRPr="00CE440F">
        <w:rPr>
          <w:rFonts w:ascii="Times New Roman" w:eastAsia="Times New Roman" w:hAnsi="Times New Roman" w:cs="Times New Roman"/>
          <w:sz w:val="24"/>
          <w:szCs w:val="24"/>
          <w:lang w:eastAsia="bg-BG"/>
        </w:rPr>
        <w:t>са</w:t>
      </w:r>
      <w:r w:rsidRPr="00CE440F">
        <w:rPr>
          <w:rFonts w:ascii="Times New Roman" w:eastAsia="Times New Roman" w:hAnsi="Times New Roman" w:cs="Times New Roman"/>
          <w:sz w:val="24"/>
          <w:szCs w:val="24"/>
          <w:lang w:eastAsia="bg-BG"/>
        </w:rPr>
        <w:t xml:space="preserve"> отразен</w:t>
      </w:r>
      <w:r w:rsidR="00315DBA" w:rsidRPr="00CE440F">
        <w:rPr>
          <w:rFonts w:ascii="Times New Roman" w:eastAsia="Times New Roman" w:hAnsi="Times New Roman" w:cs="Times New Roman"/>
          <w:sz w:val="24"/>
          <w:szCs w:val="24"/>
          <w:lang w:eastAsia="bg-BG"/>
        </w:rPr>
        <w:t>и</w:t>
      </w:r>
      <w:r w:rsidRPr="00CE440F">
        <w:rPr>
          <w:rFonts w:ascii="Times New Roman" w:eastAsia="Times New Roman" w:hAnsi="Times New Roman" w:cs="Times New Roman"/>
          <w:sz w:val="24"/>
          <w:szCs w:val="24"/>
          <w:lang w:eastAsia="bg-BG"/>
        </w:rPr>
        <w:t xml:space="preserve"> увеличение </w:t>
      </w:r>
      <w:r w:rsidR="00315DBA" w:rsidRPr="00CE440F">
        <w:rPr>
          <w:rFonts w:ascii="Times New Roman" w:eastAsia="Times New Roman" w:hAnsi="Times New Roman" w:cs="Times New Roman"/>
          <w:sz w:val="24"/>
          <w:szCs w:val="24"/>
          <w:lang w:eastAsia="bg-BG"/>
        </w:rPr>
        <w:t xml:space="preserve">на </w:t>
      </w:r>
      <w:r w:rsidRPr="00CE440F">
        <w:rPr>
          <w:rFonts w:ascii="Times New Roman" w:eastAsia="Times New Roman" w:hAnsi="Times New Roman" w:cs="Times New Roman"/>
          <w:sz w:val="24"/>
          <w:szCs w:val="24"/>
          <w:lang w:eastAsia="bg-BG"/>
        </w:rPr>
        <w:t>размера на минималната работна заплата и свърза</w:t>
      </w:r>
      <w:r w:rsidR="001102BD" w:rsidRPr="00CE440F">
        <w:rPr>
          <w:rFonts w:ascii="Times New Roman" w:eastAsia="Times New Roman" w:hAnsi="Times New Roman" w:cs="Times New Roman"/>
          <w:sz w:val="24"/>
          <w:szCs w:val="24"/>
          <w:lang w:eastAsia="bg-BG"/>
        </w:rPr>
        <w:t xml:space="preserve">ните с това осигурителни вноски и </w:t>
      </w:r>
      <w:r w:rsidR="00315DBA" w:rsidRPr="00CE440F">
        <w:rPr>
          <w:rFonts w:ascii="Times New Roman" w:eastAsia="Times New Roman" w:hAnsi="Times New Roman" w:cs="Times New Roman"/>
          <w:sz w:val="24"/>
          <w:szCs w:val="24"/>
          <w:lang w:eastAsia="bg-BG"/>
        </w:rPr>
        <w:t xml:space="preserve">предвиденото увеличение на </w:t>
      </w:r>
      <w:r w:rsidR="001102BD" w:rsidRPr="00CE440F">
        <w:rPr>
          <w:rFonts w:ascii="Times New Roman" w:eastAsia="Times New Roman" w:hAnsi="Times New Roman" w:cs="Times New Roman"/>
          <w:sz w:val="24"/>
          <w:szCs w:val="24"/>
          <w:lang w:eastAsia="bg-BG"/>
        </w:rPr>
        <w:t xml:space="preserve">средствата за повишаване на разходите за персонал в съответствие с държавната политика за повишаване на доходите на заетите </w:t>
      </w:r>
      <w:r w:rsidR="00912F05" w:rsidRPr="00CE440F">
        <w:rPr>
          <w:rFonts w:ascii="Times New Roman" w:eastAsia="Times New Roman" w:hAnsi="Times New Roman" w:cs="Times New Roman"/>
          <w:sz w:val="24"/>
          <w:szCs w:val="24"/>
          <w:lang w:eastAsia="bg-BG"/>
        </w:rPr>
        <w:t>в</w:t>
      </w:r>
      <w:r w:rsidR="001102BD" w:rsidRPr="00CE440F">
        <w:rPr>
          <w:rFonts w:ascii="Times New Roman" w:eastAsia="Times New Roman" w:hAnsi="Times New Roman" w:cs="Times New Roman"/>
          <w:sz w:val="24"/>
          <w:szCs w:val="24"/>
          <w:lang w:eastAsia="bg-BG"/>
        </w:rPr>
        <w:t xml:space="preserve"> бюджетната сфера през 2021 година. </w:t>
      </w:r>
    </w:p>
    <w:p w:rsidR="00C00C30" w:rsidRPr="00CE440F" w:rsidRDefault="00315DBA" w:rsidP="00DC1E52">
      <w:pPr>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Планираният</w:t>
      </w:r>
      <w:r w:rsidR="00C00C30" w:rsidRPr="00CE440F">
        <w:rPr>
          <w:rFonts w:ascii="Times New Roman" w:eastAsia="Times New Roman" w:hAnsi="Times New Roman" w:cs="Times New Roman"/>
          <w:sz w:val="24"/>
          <w:szCs w:val="24"/>
          <w:lang w:eastAsia="bg-BG"/>
        </w:rPr>
        <w:t xml:space="preserve"> размер </w:t>
      </w:r>
      <w:r w:rsidRPr="00CE440F">
        <w:rPr>
          <w:rFonts w:ascii="Times New Roman" w:eastAsia="Times New Roman" w:hAnsi="Times New Roman" w:cs="Times New Roman"/>
          <w:sz w:val="24"/>
          <w:szCs w:val="24"/>
          <w:lang w:eastAsia="bg-BG"/>
        </w:rPr>
        <w:t xml:space="preserve">на средствата за разходите за персонал се основава на </w:t>
      </w:r>
      <w:r w:rsidR="00C00C30" w:rsidRPr="00CE440F">
        <w:rPr>
          <w:rFonts w:ascii="Times New Roman" w:eastAsia="Times New Roman" w:hAnsi="Times New Roman" w:cs="Times New Roman"/>
          <w:sz w:val="24"/>
          <w:szCs w:val="24"/>
          <w:lang w:eastAsia="bg-BG"/>
        </w:rPr>
        <w:t>актуализирана</w:t>
      </w:r>
      <w:r w:rsidRPr="00CE440F">
        <w:rPr>
          <w:rFonts w:ascii="Times New Roman" w:eastAsia="Times New Roman" w:hAnsi="Times New Roman" w:cs="Times New Roman"/>
          <w:sz w:val="24"/>
          <w:szCs w:val="24"/>
          <w:lang w:eastAsia="bg-BG"/>
        </w:rPr>
        <w:t>та</w:t>
      </w:r>
      <w:r w:rsidR="00C00C30" w:rsidRPr="00CE440F">
        <w:rPr>
          <w:rFonts w:ascii="Times New Roman" w:eastAsia="Times New Roman" w:hAnsi="Times New Roman" w:cs="Times New Roman"/>
          <w:sz w:val="24"/>
          <w:szCs w:val="24"/>
          <w:lang w:eastAsia="bg-BG"/>
        </w:rPr>
        <w:t xml:space="preserve"> прогноза за приходите на НЗОК, събирани от НАП </w:t>
      </w:r>
      <w:r w:rsidR="00E4582E" w:rsidRPr="00CE440F">
        <w:rPr>
          <w:rFonts w:ascii="Times New Roman" w:eastAsia="Times New Roman" w:hAnsi="Times New Roman" w:cs="Times New Roman"/>
          <w:sz w:val="24"/>
          <w:szCs w:val="24"/>
          <w:lang w:eastAsia="bg-BG"/>
        </w:rPr>
        <w:t>в</w:t>
      </w:r>
      <w:r w:rsidR="00C00C30" w:rsidRPr="00CE440F">
        <w:rPr>
          <w:rFonts w:ascii="Times New Roman" w:eastAsia="Times New Roman" w:hAnsi="Times New Roman" w:cs="Times New Roman"/>
          <w:sz w:val="24"/>
          <w:szCs w:val="24"/>
          <w:lang w:eastAsia="bg-BG"/>
        </w:rPr>
        <w:t xml:space="preserve"> периода 2020-2023 година, където е отразена одобрената от правителството нова социално-икономическа мярка за отговор на епидемичната криза за увеличаване с 30 % на разходите за персонал за администрации, които са натоварени с дейности по овладяване на пандеми</w:t>
      </w:r>
      <w:r w:rsidRPr="00CE440F">
        <w:rPr>
          <w:rFonts w:ascii="Times New Roman" w:eastAsia="Times New Roman" w:hAnsi="Times New Roman" w:cs="Times New Roman"/>
          <w:sz w:val="24"/>
          <w:szCs w:val="24"/>
          <w:lang w:eastAsia="bg-BG"/>
        </w:rPr>
        <w:t>ята и последствията от COVID-19. Н</w:t>
      </w:r>
      <w:r w:rsidR="00E06FAF" w:rsidRPr="00CE440F">
        <w:rPr>
          <w:rFonts w:ascii="Times New Roman" w:eastAsia="Times New Roman" w:hAnsi="Times New Roman" w:cs="Times New Roman"/>
          <w:sz w:val="24"/>
          <w:szCs w:val="24"/>
          <w:lang w:eastAsia="bg-BG"/>
        </w:rPr>
        <w:t>ационалната здравноосигурителна каса</w:t>
      </w:r>
      <w:r w:rsidRPr="00CE440F">
        <w:rPr>
          <w:rFonts w:ascii="Times New Roman" w:eastAsia="Times New Roman" w:hAnsi="Times New Roman" w:cs="Times New Roman"/>
          <w:sz w:val="24"/>
          <w:szCs w:val="24"/>
          <w:lang w:eastAsia="bg-BG"/>
        </w:rPr>
        <w:t xml:space="preserve"> е определена като </w:t>
      </w:r>
      <w:r w:rsidR="00C00C30" w:rsidRPr="00CE440F">
        <w:rPr>
          <w:rFonts w:ascii="Times New Roman" w:eastAsia="Times New Roman" w:hAnsi="Times New Roman" w:cs="Times New Roman"/>
          <w:sz w:val="24"/>
          <w:szCs w:val="24"/>
          <w:lang w:eastAsia="bg-BG"/>
        </w:rPr>
        <w:t>администраци</w:t>
      </w:r>
      <w:r w:rsidR="00E06FAF" w:rsidRPr="00CE440F">
        <w:rPr>
          <w:rFonts w:ascii="Times New Roman" w:eastAsia="Times New Roman" w:hAnsi="Times New Roman" w:cs="Times New Roman"/>
          <w:sz w:val="24"/>
          <w:szCs w:val="24"/>
          <w:lang w:eastAsia="bg-BG"/>
        </w:rPr>
        <w:t>я</w:t>
      </w:r>
      <w:r w:rsidR="00C00C30" w:rsidRPr="00CE440F">
        <w:rPr>
          <w:rFonts w:ascii="Times New Roman" w:eastAsia="Times New Roman" w:hAnsi="Times New Roman" w:cs="Times New Roman"/>
          <w:sz w:val="24"/>
          <w:szCs w:val="24"/>
          <w:lang w:eastAsia="bg-BG"/>
        </w:rPr>
        <w:t xml:space="preserve"> със служители „на първа линия“, чиито задължения включват обслужване и контрол „на терен“, с пряк контакт с други лица (увеличението на индивидуалните основни месечни заплати на контролните органи по чл.72, ал.2 от ЗЗО, съгласно ПМС № 240 от 31.08.2020 г., ПМС № 247 от 03.09.2020 г.</w:t>
      </w:r>
      <w:r w:rsidR="00E06FAF" w:rsidRPr="00CE440F">
        <w:rPr>
          <w:rFonts w:ascii="Times New Roman" w:eastAsia="Times New Roman" w:hAnsi="Times New Roman" w:cs="Times New Roman"/>
          <w:sz w:val="24"/>
          <w:szCs w:val="24"/>
          <w:lang w:eastAsia="bg-BG"/>
        </w:rPr>
        <w:t xml:space="preserve"> и §73 от ПЗР на Закона за лекарствените продукти в хуманната медицина.). В планираните средства е намерило отражение </w:t>
      </w:r>
      <w:r w:rsidR="005823AE" w:rsidRPr="00CE440F">
        <w:rPr>
          <w:rFonts w:ascii="Times New Roman" w:eastAsia="Times New Roman" w:hAnsi="Times New Roman" w:cs="Times New Roman"/>
          <w:sz w:val="24"/>
          <w:szCs w:val="24"/>
          <w:lang w:eastAsia="bg-BG"/>
        </w:rPr>
        <w:t xml:space="preserve">изпълнението на </w:t>
      </w:r>
      <w:r w:rsidR="00C00C30" w:rsidRPr="00CE440F">
        <w:rPr>
          <w:rFonts w:ascii="Times New Roman" w:eastAsia="Times New Roman" w:hAnsi="Times New Roman" w:cs="Times New Roman"/>
          <w:sz w:val="24"/>
          <w:szCs w:val="24"/>
          <w:lang w:eastAsia="bg-BG"/>
        </w:rPr>
        <w:t>политиката по доходите</w:t>
      </w:r>
      <w:r w:rsidR="00E06FAF" w:rsidRPr="00CE440F">
        <w:rPr>
          <w:rFonts w:ascii="Times New Roman" w:eastAsia="Times New Roman" w:hAnsi="Times New Roman" w:cs="Times New Roman"/>
          <w:sz w:val="24"/>
          <w:szCs w:val="24"/>
          <w:lang w:eastAsia="bg-BG"/>
        </w:rPr>
        <w:t xml:space="preserve"> за увеличение</w:t>
      </w:r>
      <w:r w:rsidR="00C00C30" w:rsidRPr="00CE440F">
        <w:rPr>
          <w:rFonts w:ascii="Times New Roman" w:eastAsia="Times New Roman" w:hAnsi="Times New Roman" w:cs="Times New Roman"/>
          <w:sz w:val="24"/>
          <w:szCs w:val="24"/>
          <w:lang w:eastAsia="bg-BG"/>
        </w:rPr>
        <w:t xml:space="preserve"> с 10 % на разходите </w:t>
      </w:r>
      <w:r w:rsidR="00E06FAF" w:rsidRPr="00CE440F">
        <w:rPr>
          <w:rFonts w:ascii="Times New Roman" w:eastAsia="Times New Roman" w:hAnsi="Times New Roman" w:cs="Times New Roman"/>
          <w:sz w:val="24"/>
          <w:szCs w:val="24"/>
          <w:lang w:eastAsia="bg-BG"/>
        </w:rPr>
        <w:t>за персонал в публичния сектор.</w:t>
      </w:r>
    </w:p>
    <w:p w:rsidR="004D74C7" w:rsidRPr="00CE440F" w:rsidRDefault="005823AE" w:rsidP="00A61DA9">
      <w:pPr>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През 2021 г. се п</w:t>
      </w:r>
      <w:r w:rsidR="00F847B9" w:rsidRPr="00CE440F">
        <w:rPr>
          <w:rFonts w:ascii="Times New Roman" w:eastAsia="Times New Roman" w:hAnsi="Times New Roman" w:cs="Times New Roman"/>
          <w:sz w:val="24"/>
          <w:szCs w:val="24"/>
          <w:lang w:eastAsia="bg-BG"/>
        </w:rPr>
        <w:t xml:space="preserve">редвижда </w:t>
      </w:r>
      <w:r w:rsidR="00A61DA9" w:rsidRPr="00CE440F">
        <w:rPr>
          <w:rFonts w:ascii="Times New Roman" w:eastAsia="Times New Roman" w:hAnsi="Times New Roman" w:cs="Times New Roman"/>
          <w:sz w:val="24"/>
          <w:szCs w:val="24"/>
          <w:lang w:eastAsia="bg-BG"/>
        </w:rPr>
        <w:t>увелич</w:t>
      </w:r>
      <w:r w:rsidR="00F847B9" w:rsidRPr="00CE440F">
        <w:rPr>
          <w:rFonts w:ascii="Times New Roman" w:eastAsia="Times New Roman" w:hAnsi="Times New Roman" w:cs="Times New Roman"/>
          <w:sz w:val="24"/>
          <w:szCs w:val="24"/>
          <w:lang w:eastAsia="bg-BG"/>
        </w:rPr>
        <w:t>ение на</w:t>
      </w:r>
      <w:r w:rsidR="00A61DA9" w:rsidRPr="00CE440F">
        <w:rPr>
          <w:rFonts w:ascii="Times New Roman" w:eastAsia="Times New Roman" w:hAnsi="Times New Roman" w:cs="Times New Roman"/>
          <w:sz w:val="24"/>
          <w:szCs w:val="24"/>
          <w:lang w:eastAsia="bg-BG"/>
        </w:rPr>
        <w:t xml:space="preserve"> обем</w:t>
      </w:r>
      <w:r w:rsidR="00F847B9" w:rsidRPr="00CE440F">
        <w:rPr>
          <w:rFonts w:ascii="Times New Roman" w:eastAsia="Times New Roman" w:hAnsi="Times New Roman" w:cs="Times New Roman"/>
          <w:sz w:val="24"/>
          <w:szCs w:val="24"/>
          <w:lang w:eastAsia="bg-BG"/>
        </w:rPr>
        <w:t>а</w:t>
      </w:r>
      <w:r w:rsidR="00A61DA9" w:rsidRPr="00CE440F">
        <w:rPr>
          <w:rFonts w:ascii="Times New Roman" w:eastAsia="Times New Roman" w:hAnsi="Times New Roman" w:cs="Times New Roman"/>
          <w:sz w:val="24"/>
          <w:szCs w:val="24"/>
          <w:lang w:eastAsia="bg-BG"/>
        </w:rPr>
        <w:t xml:space="preserve"> от дейности</w:t>
      </w:r>
      <w:r w:rsidR="00F847B9" w:rsidRPr="00CE440F">
        <w:rPr>
          <w:rFonts w:ascii="Times New Roman" w:eastAsia="Times New Roman" w:hAnsi="Times New Roman" w:cs="Times New Roman"/>
          <w:sz w:val="24"/>
          <w:szCs w:val="24"/>
          <w:lang w:eastAsia="bg-BG"/>
        </w:rPr>
        <w:t>,</w:t>
      </w:r>
      <w:r w:rsidR="00A61DA9" w:rsidRPr="00CE440F">
        <w:rPr>
          <w:rFonts w:ascii="Times New Roman" w:eastAsia="Times New Roman" w:hAnsi="Times New Roman" w:cs="Times New Roman"/>
          <w:sz w:val="24"/>
          <w:szCs w:val="24"/>
          <w:lang w:eastAsia="bg-BG"/>
        </w:rPr>
        <w:t xml:space="preserve"> администрирани от НЗОК</w:t>
      </w:r>
      <w:r w:rsidR="00F847B9" w:rsidRPr="00CE440F">
        <w:rPr>
          <w:rFonts w:ascii="Times New Roman" w:eastAsia="Times New Roman" w:hAnsi="Times New Roman" w:cs="Times New Roman"/>
          <w:sz w:val="24"/>
          <w:szCs w:val="24"/>
          <w:lang w:eastAsia="bg-BG"/>
        </w:rPr>
        <w:t>, ко</w:t>
      </w:r>
      <w:r w:rsidRPr="00CE440F">
        <w:rPr>
          <w:rFonts w:ascii="Times New Roman" w:eastAsia="Times New Roman" w:hAnsi="Times New Roman" w:cs="Times New Roman"/>
          <w:sz w:val="24"/>
          <w:szCs w:val="24"/>
          <w:lang w:eastAsia="bg-BG"/>
        </w:rPr>
        <w:t>е</w:t>
      </w:r>
      <w:r w:rsidR="00F847B9" w:rsidRPr="00CE440F">
        <w:rPr>
          <w:rFonts w:ascii="Times New Roman" w:eastAsia="Times New Roman" w:hAnsi="Times New Roman" w:cs="Times New Roman"/>
          <w:sz w:val="24"/>
          <w:szCs w:val="24"/>
          <w:lang w:eastAsia="bg-BG"/>
        </w:rPr>
        <w:t>то произтича</w:t>
      </w:r>
      <w:r w:rsidR="00A61DA9" w:rsidRPr="00CE440F">
        <w:rPr>
          <w:rFonts w:ascii="Times New Roman" w:eastAsia="Times New Roman" w:hAnsi="Times New Roman" w:cs="Times New Roman"/>
          <w:sz w:val="24"/>
          <w:szCs w:val="24"/>
          <w:lang w:eastAsia="bg-BG"/>
        </w:rPr>
        <w:t xml:space="preserve"> </w:t>
      </w:r>
      <w:r w:rsidR="00F847B9" w:rsidRPr="00CE440F">
        <w:rPr>
          <w:rFonts w:ascii="Times New Roman" w:eastAsia="Times New Roman" w:hAnsi="Times New Roman" w:cs="Times New Roman"/>
          <w:sz w:val="24"/>
          <w:szCs w:val="24"/>
          <w:lang w:eastAsia="bg-BG"/>
        </w:rPr>
        <w:t>от</w:t>
      </w:r>
      <w:r w:rsidR="00A61DA9" w:rsidRPr="00CE440F">
        <w:rPr>
          <w:rFonts w:ascii="Times New Roman" w:eastAsia="Times New Roman" w:hAnsi="Times New Roman" w:cs="Times New Roman"/>
          <w:sz w:val="24"/>
          <w:szCs w:val="24"/>
          <w:lang w:eastAsia="bg-BG"/>
        </w:rPr>
        <w:t xml:space="preserve"> изпълнение на промени в нормативната уредба, в т.ч. </w:t>
      </w:r>
      <w:r w:rsidR="009E2F72" w:rsidRPr="00CE440F">
        <w:rPr>
          <w:rFonts w:ascii="Times New Roman" w:eastAsia="Times New Roman" w:hAnsi="Times New Roman" w:cs="Times New Roman"/>
          <w:sz w:val="24"/>
          <w:szCs w:val="24"/>
          <w:lang w:eastAsia="bg-BG"/>
        </w:rPr>
        <w:t xml:space="preserve">промените </w:t>
      </w:r>
      <w:r w:rsidR="008C197D" w:rsidRPr="003B6115">
        <w:rPr>
          <w:rFonts w:ascii="Times New Roman" w:eastAsia="Times New Roman" w:hAnsi="Times New Roman" w:cs="Times New Roman"/>
          <w:sz w:val="24"/>
          <w:szCs w:val="24"/>
          <w:lang w:eastAsia="bg-BG"/>
        </w:rPr>
        <w:t xml:space="preserve">в чл.45, </w:t>
      </w:r>
      <w:r w:rsidR="009E2F72" w:rsidRPr="003B6115">
        <w:rPr>
          <w:rFonts w:ascii="Times New Roman" w:eastAsia="Times New Roman" w:hAnsi="Times New Roman" w:cs="Times New Roman"/>
          <w:sz w:val="24"/>
          <w:szCs w:val="24"/>
          <w:lang w:eastAsia="bg-BG"/>
        </w:rPr>
        <w:t>ал.1а</w:t>
      </w:r>
      <w:r w:rsidR="009E2F72" w:rsidRPr="00CE440F">
        <w:rPr>
          <w:rFonts w:ascii="Times New Roman" w:eastAsia="Times New Roman" w:hAnsi="Times New Roman" w:cs="Times New Roman"/>
          <w:sz w:val="24"/>
          <w:szCs w:val="24"/>
          <w:lang w:eastAsia="bg-BG"/>
        </w:rPr>
        <w:t xml:space="preserve"> от З</w:t>
      </w:r>
      <w:r w:rsidR="00712831" w:rsidRPr="00CE440F">
        <w:rPr>
          <w:rFonts w:ascii="Times New Roman" w:eastAsia="Times New Roman" w:hAnsi="Times New Roman" w:cs="Times New Roman"/>
          <w:sz w:val="24"/>
          <w:szCs w:val="24"/>
          <w:lang w:eastAsia="bg-BG"/>
        </w:rPr>
        <w:t xml:space="preserve">ЗО </w:t>
      </w:r>
      <w:r w:rsidR="00A61DA9" w:rsidRPr="00CE440F">
        <w:rPr>
          <w:rFonts w:ascii="Times New Roman" w:eastAsia="Times New Roman" w:hAnsi="Times New Roman" w:cs="Times New Roman"/>
          <w:sz w:val="24"/>
          <w:szCs w:val="24"/>
          <w:lang w:eastAsia="bg-BG"/>
        </w:rPr>
        <w:t>по</w:t>
      </w:r>
      <w:r w:rsidR="009E2F72" w:rsidRPr="00CE440F">
        <w:rPr>
          <w:rFonts w:ascii="Times New Roman" w:eastAsia="Times New Roman" w:hAnsi="Times New Roman" w:cs="Times New Roman"/>
          <w:sz w:val="24"/>
          <w:szCs w:val="24"/>
          <w:lang w:eastAsia="bg-BG"/>
        </w:rPr>
        <w:t xml:space="preserve"> сключването на Н</w:t>
      </w:r>
      <w:r w:rsidR="00624833" w:rsidRPr="00CE440F">
        <w:rPr>
          <w:rFonts w:ascii="Times New Roman" w:eastAsia="Times New Roman" w:hAnsi="Times New Roman" w:cs="Times New Roman"/>
          <w:sz w:val="24"/>
          <w:szCs w:val="24"/>
          <w:lang w:eastAsia="bg-BG"/>
        </w:rPr>
        <w:t>ационален рамков договор</w:t>
      </w:r>
      <w:r w:rsidR="009E2F72" w:rsidRPr="00CE440F">
        <w:rPr>
          <w:rFonts w:ascii="Times New Roman" w:eastAsia="Times New Roman" w:hAnsi="Times New Roman" w:cs="Times New Roman"/>
          <w:sz w:val="24"/>
          <w:szCs w:val="24"/>
          <w:lang w:eastAsia="bg-BG"/>
        </w:rPr>
        <w:t xml:space="preserve"> </w:t>
      </w:r>
      <w:r w:rsidR="00A61DA9" w:rsidRPr="00CE440F">
        <w:rPr>
          <w:rFonts w:ascii="Times New Roman" w:eastAsia="Times New Roman" w:hAnsi="Times New Roman" w:cs="Times New Roman"/>
          <w:sz w:val="24"/>
          <w:szCs w:val="24"/>
          <w:lang w:eastAsia="bg-BG"/>
        </w:rPr>
        <w:t xml:space="preserve">за </w:t>
      </w:r>
      <w:r w:rsidR="00624833" w:rsidRPr="00CE440F">
        <w:rPr>
          <w:rFonts w:ascii="Times New Roman" w:eastAsia="Times New Roman" w:hAnsi="Times New Roman" w:cs="Times New Roman"/>
          <w:sz w:val="24"/>
          <w:szCs w:val="24"/>
          <w:lang w:eastAsia="bg-BG"/>
        </w:rPr>
        <w:t xml:space="preserve">дейностите по </w:t>
      </w:r>
      <w:r w:rsidR="00A61DA9" w:rsidRPr="00CE440F">
        <w:rPr>
          <w:rFonts w:ascii="Times New Roman" w:eastAsia="Times New Roman" w:hAnsi="Times New Roman" w:cs="Times New Roman"/>
          <w:sz w:val="24"/>
          <w:szCs w:val="24"/>
          <w:lang w:eastAsia="bg-BG"/>
        </w:rPr>
        <w:t>здравни грижи</w:t>
      </w:r>
      <w:r w:rsidR="00E4582E" w:rsidRPr="00CE440F">
        <w:rPr>
          <w:rFonts w:ascii="Times New Roman" w:eastAsia="Times New Roman" w:hAnsi="Times New Roman" w:cs="Times New Roman"/>
          <w:sz w:val="24"/>
          <w:szCs w:val="24"/>
          <w:lang w:eastAsia="bg-BG"/>
        </w:rPr>
        <w:t>,</w:t>
      </w:r>
      <w:r w:rsidR="00712831" w:rsidRPr="00CE440F">
        <w:t xml:space="preserve"> </w:t>
      </w:r>
      <w:r w:rsidR="00E4582E" w:rsidRPr="00CE440F">
        <w:rPr>
          <w:rFonts w:ascii="Times New Roman" w:eastAsia="Times New Roman" w:hAnsi="Times New Roman" w:cs="Times New Roman"/>
          <w:sz w:val="24"/>
          <w:szCs w:val="24"/>
          <w:lang w:eastAsia="bg-BG"/>
        </w:rPr>
        <w:t>изпълнявани от</w:t>
      </w:r>
      <w:r w:rsidR="00E4582E" w:rsidRPr="00CE440F">
        <w:t xml:space="preserve"> </w:t>
      </w:r>
      <w:r w:rsidR="00E4582E" w:rsidRPr="00CE440F">
        <w:rPr>
          <w:rFonts w:ascii="Times New Roman" w:eastAsia="Times New Roman" w:hAnsi="Times New Roman" w:cs="Times New Roman"/>
          <w:sz w:val="24"/>
          <w:szCs w:val="24"/>
          <w:lang w:eastAsia="bg-BG"/>
        </w:rPr>
        <w:t xml:space="preserve">медицинските сестри, акушерките и асоциираните медицински специалисти. </w:t>
      </w:r>
      <w:r w:rsidRPr="00CE440F">
        <w:rPr>
          <w:rFonts w:ascii="Times New Roman" w:eastAsia="Times New Roman" w:hAnsi="Times New Roman" w:cs="Times New Roman"/>
          <w:sz w:val="24"/>
          <w:szCs w:val="24"/>
          <w:lang w:eastAsia="bg-BG"/>
        </w:rPr>
        <w:t>П</w:t>
      </w:r>
      <w:r w:rsidR="00E4582E" w:rsidRPr="00CE440F">
        <w:rPr>
          <w:rFonts w:ascii="Times New Roman" w:eastAsia="Times New Roman" w:hAnsi="Times New Roman" w:cs="Times New Roman"/>
          <w:sz w:val="24"/>
          <w:szCs w:val="24"/>
          <w:lang w:eastAsia="bg-BG"/>
        </w:rPr>
        <w:t xml:space="preserve">редвидено </w:t>
      </w:r>
      <w:r w:rsidRPr="00CE440F">
        <w:rPr>
          <w:rFonts w:ascii="Times New Roman" w:eastAsia="Times New Roman" w:hAnsi="Times New Roman" w:cs="Times New Roman"/>
          <w:sz w:val="24"/>
          <w:szCs w:val="24"/>
          <w:lang w:eastAsia="bg-BG"/>
        </w:rPr>
        <w:t xml:space="preserve">е и </w:t>
      </w:r>
      <w:r w:rsidR="00E4582E" w:rsidRPr="00CE440F">
        <w:rPr>
          <w:rFonts w:ascii="Times New Roman" w:eastAsia="Times New Roman" w:hAnsi="Times New Roman" w:cs="Times New Roman"/>
          <w:sz w:val="24"/>
          <w:szCs w:val="24"/>
          <w:lang w:eastAsia="bg-BG"/>
        </w:rPr>
        <w:t xml:space="preserve">НЗОК да администрира процесите за </w:t>
      </w:r>
      <w:r w:rsidR="00A61DA9" w:rsidRPr="00CE440F">
        <w:rPr>
          <w:rFonts w:ascii="Times New Roman" w:eastAsia="Times New Roman" w:hAnsi="Times New Roman" w:cs="Times New Roman"/>
          <w:sz w:val="24"/>
          <w:szCs w:val="24"/>
          <w:lang w:eastAsia="bg-BG"/>
        </w:rPr>
        <w:t>финансирането на медицинските изделия и помощните средства за хората с увреждания</w:t>
      </w:r>
      <w:r w:rsidR="00E4582E" w:rsidRPr="00CE440F">
        <w:rPr>
          <w:rFonts w:ascii="Times New Roman" w:eastAsia="Times New Roman" w:hAnsi="Times New Roman" w:cs="Times New Roman"/>
          <w:sz w:val="24"/>
          <w:szCs w:val="24"/>
          <w:lang w:eastAsia="bg-BG"/>
        </w:rPr>
        <w:t xml:space="preserve">. </w:t>
      </w:r>
      <w:r w:rsidR="008C197D" w:rsidRPr="00CE440F">
        <w:rPr>
          <w:rFonts w:ascii="Times New Roman" w:eastAsia="Times New Roman" w:hAnsi="Times New Roman" w:cs="Times New Roman"/>
          <w:sz w:val="24"/>
          <w:szCs w:val="24"/>
          <w:lang w:eastAsia="bg-BG"/>
        </w:rPr>
        <w:t xml:space="preserve">В тази връзка през 2021 г. </w:t>
      </w:r>
      <w:r w:rsidRPr="00CE440F">
        <w:rPr>
          <w:rFonts w:ascii="Times New Roman" w:eastAsia="Times New Roman" w:hAnsi="Times New Roman" w:cs="Times New Roman"/>
          <w:sz w:val="24"/>
          <w:szCs w:val="24"/>
          <w:lang w:eastAsia="bg-BG"/>
        </w:rPr>
        <w:t xml:space="preserve">планираните </w:t>
      </w:r>
      <w:r w:rsidR="008C197D" w:rsidRPr="00CE440F">
        <w:rPr>
          <w:rFonts w:ascii="Times New Roman" w:eastAsia="Times New Roman" w:hAnsi="Times New Roman" w:cs="Times New Roman"/>
          <w:sz w:val="24"/>
          <w:szCs w:val="24"/>
          <w:lang w:eastAsia="bg-BG"/>
        </w:rPr>
        <w:t>допълните</w:t>
      </w:r>
      <w:r w:rsidR="00E4582E" w:rsidRPr="00CE440F">
        <w:rPr>
          <w:rFonts w:ascii="Times New Roman" w:eastAsia="Times New Roman" w:hAnsi="Times New Roman" w:cs="Times New Roman"/>
          <w:sz w:val="24"/>
          <w:szCs w:val="24"/>
          <w:lang w:eastAsia="bg-BG"/>
        </w:rPr>
        <w:t>лни човешки и финансови ресурси са намерили отражение в предвидените средства по проекта на ЗБНЗОК за 2021 година.</w:t>
      </w: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1.1.2. Издръжка на административните дейности</w:t>
      </w:r>
    </w:p>
    <w:p w:rsidR="005222E9" w:rsidRPr="00CE440F" w:rsidRDefault="005E56A0" w:rsidP="005222E9">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rPr>
        <w:t>Разходите за издръжка на административните дейности по проекта за 202</w:t>
      </w:r>
      <w:r w:rsidR="00A91DCF"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на </w:t>
      </w:r>
      <w:r w:rsidR="007C7866" w:rsidRPr="00CE440F">
        <w:rPr>
          <w:rFonts w:ascii="Times New Roman" w:eastAsia="Times New Roman" w:hAnsi="Times New Roman" w:cs="Times New Roman"/>
          <w:b/>
          <w:sz w:val="24"/>
          <w:szCs w:val="24"/>
        </w:rPr>
        <w:t>20 6</w:t>
      </w:r>
      <w:r w:rsidR="00D35365" w:rsidRPr="00CE440F">
        <w:rPr>
          <w:rFonts w:ascii="Times New Roman" w:eastAsia="Times New Roman" w:hAnsi="Times New Roman" w:cs="Times New Roman"/>
          <w:b/>
          <w:sz w:val="24"/>
          <w:szCs w:val="24"/>
        </w:rPr>
        <w:t>40</w:t>
      </w:r>
      <w:r w:rsidR="007C7866" w:rsidRPr="00CE440F">
        <w:rPr>
          <w:rFonts w:ascii="Times New Roman" w:eastAsia="Times New Roman" w:hAnsi="Times New Roman" w:cs="Times New Roman"/>
          <w:b/>
          <w:sz w:val="24"/>
          <w:szCs w:val="24"/>
        </w:rPr>
        <w:t>,0</w:t>
      </w:r>
      <w:r w:rsidR="00D35365" w:rsidRPr="00CE440F">
        <w:rPr>
          <w:rFonts w:ascii="Times New Roman" w:eastAsia="Times New Roman" w:hAnsi="Times New Roman" w:cs="Times New Roman"/>
          <w:sz w:val="24"/>
          <w:szCs w:val="24"/>
          <w:lang w:val="en-US"/>
        </w:rPr>
        <w:t xml:space="preserve"> </w:t>
      </w:r>
      <w:r w:rsidRPr="00CE440F">
        <w:rPr>
          <w:rFonts w:ascii="Times New Roman" w:eastAsia="Times New Roman" w:hAnsi="Times New Roman" w:cs="Times New Roman"/>
          <w:b/>
          <w:sz w:val="24"/>
          <w:szCs w:val="24"/>
        </w:rPr>
        <w:t xml:space="preserve">хил. лв. </w:t>
      </w:r>
      <w:r w:rsidR="007A3FAC" w:rsidRPr="00CE440F">
        <w:rPr>
          <w:rFonts w:ascii="Times New Roman" w:eastAsia="Times New Roman" w:hAnsi="Times New Roman" w:cs="Times New Roman"/>
          <w:b/>
          <w:sz w:val="24"/>
          <w:szCs w:val="24"/>
        </w:rPr>
        <w:t xml:space="preserve">В </w:t>
      </w:r>
      <w:r w:rsidR="007A3FAC" w:rsidRPr="00CE440F">
        <w:rPr>
          <w:rFonts w:ascii="Times New Roman" w:eastAsia="Times New Roman" w:hAnsi="Times New Roman" w:cs="Times New Roman"/>
          <w:sz w:val="24"/>
          <w:szCs w:val="24"/>
        </w:rPr>
        <w:t>п</w:t>
      </w:r>
      <w:r w:rsidRPr="00CE440F">
        <w:rPr>
          <w:rFonts w:ascii="Times New Roman" w:eastAsia="Times New Roman" w:hAnsi="Times New Roman" w:cs="Times New Roman"/>
          <w:sz w:val="24"/>
          <w:szCs w:val="24"/>
        </w:rPr>
        <w:t>редвидените средства за 202</w:t>
      </w:r>
      <w:r w:rsidR="00D35365" w:rsidRPr="00CE440F">
        <w:rPr>
          <w:rFonts w:ascii="Times New Roman" w:eastAsia="Times New Roman" w:hAnsi="Times New Roman" w:cs="Times New Roman"/>
          <w:sz w:val="24"/>
          <w:szCs w:val="24"/>
          <w:lang w:val="en-US"/>
        </w:rPr>
        <w:t>1</w:t>
      </w:r>
      <w:r w:rsidRPr="00CE440F">
        <w:rPr>
          <w:rFonts w:ascii="Times New Roman" w:eastAsia="Times New Roman" w:hAnsi="Times New Roman" w:cs="Times New Roman"/>
          <w:sz w:val="24"/>
          <w:szCs w:val="24"/>
        </w:rPr>
        <w:t xml:space="preserve"> г. </w:t>
      </w:r>
      <w:r w:rsidR="007A3FAC" w:rsidRPr="00CE440F">
        <w:rPr>
          <w:rFonts w:ascii="Times New Roman" w:eastAsia="Times New Roman" w:hAnsi="Times New Roman" w:cs="Times New Roman"/>
          <w:sz w:val="24"/>
          <w:szCs w:val="24"/>
        </w:rPr>
        <w:t xml:space="preserve">е отразено </w:t>
      </w:r>
      <w:r w:rsidR="005222E9" w:rsidRPr="00CE440F">
        <w:rPr>
          <w:rFonts w:ascii="Times New Roman" w:eastAsia="Times New Roman" w:hAnsi="Times New Roman" w:cs="Times New Roman"/>
          <w:sz w:val="24"/>
          <w:szCs w:val="24"/>
          <w:lang w:eastAsia="bg-BG"/>
        </w:rPr>
        <w:t>компенсиране</w:t>
      </w:r>
      <w:r w:rsidR="007A3FAC" w:rsidRPr="00CE440F">
        <w:rPr>
          <w:rFonts w:ascii="Times New Roman" w:eastAsia="Times New Roman" w:hAnsi="Times New Roman" w:cs="Times New Roman"/>
          <w:sz w:val="24"/>
          <w:szCs w:val="24"/>
          <w:lang w:eastAsia="bg-BG"/>
        </w:rPr>
        <w:t>то на</w:t>
      </w:r>
      <w:r w:rsidR="005222E9" w:rsidRPr="00CE440F">
        <w:rPr>
          <w:rFonts w:ascii="Times New Roman" w:eastAsia="Times New Roman" w:hAnsi="Times New Roman" w:cs="Times New Roman"/>
          <w:sz w:val="24"/>
          <w:szCs w:val="24"/>
          <w:lang w:eastAsia="bg-BG"/>
        </w:rPr>
        <w:t xml:space="preserve"> </w:t>
      </w:r>
      <w:r w:rsidR="007A3FAC" w:rsidRPr="00CE440F">
        <w:rPr>
          <w:rFonts w:ascii="Times New Roman" w:eastAsia="Times New Roman" w:hAnsi="Times New Roman" w:cs="Times New Roman"/>
          <w:sz w:val="24"/>
          <w:szCs w:val="24"/>
          <w:lang w:eastAsia="bg-BG"/>
        </w:rPr>
        <w:t xml:space="preserve">средства от </w:t>
      </w:r>
      <w:r w:rsidR="005222E9" w:rsidRPr="00CE440F">
        <w:rPr>
          <w:rFonts w:ascii="Times New Roman" w:eastAsia="Times New Roman" w:hAnsi="Times New Roman" w:cs="Times New Roman"/>
          <w:sz w:val="24"/>
          <w:szCs w:val="24"/>
          <w:lang w:eastAsia="bg-BG"/>
        </w:rPr>
        <w:t>недостига по договори, основно за информационно-</w:t>
      </w:r>
      <w:r w:rsidR="005222E9" w:rsidRPr="00CE440F">
        <w:rPr>
          <w:rFonts w:ascii="Times New Roman" w:eastAsia="Times New Roman" w:hAnsi="Times New Roman" w:cs="Times New Roman"/>
          <w:sz w:val="24"/>
          <w:szCs w:val="24"/>
          <w:lang w:eastAsia="bg-BG"/>
        </w:rPr>
        <w:lastRenderedPageBreak/>
        <w:t>техническата инфраструктура на НЗОК за 2020 г. и във връзка с въвеждането на националната здравно-информационна система, по изискванията на ДАЕУ за сигурността на системата за защитата на лични данни, за които НЗОК ще е необходимо да бъде осигурена с допълнително финансиране.</w:t>
      </w:r>
    </w:p>
    <w:p w:rsidR="005222E9" w:rsidRPr="00CE440F" w:rsidRDefault="005222E9" w:rsidP="005222E9">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Със заложените средства се гарантира финансирането на договорите на НЗОК за предоставяне на услуги за поддръжка на електронните системи за сигурност в обектите на НЗОК, комплексно обслужване и системна, експертна помощ за информационно-техническата инфраструктура на НЗОК, гарантиращи спазване на препоръките дадени от компетентните органи за обезпечаване сигурността на информацията, както и на услугите, необходими за функциониране на дейността на НЗОК.</w:t>
      </w:r>
    </w:p>
    <w:p w:rsidR="005E56A0" w:rsidRPr="00CE440F" w:rsidRDefault="005222E9" w:rsidP="005E56A0">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 xml:space="preserve">Осигурява се </w:t>
      </w:r>
      <w:r w:rsidR="005E56A0" w:rsidRPr="00CE440F">
        <w:rPr>
          <w:rFonts w:ascii="Times New Roman" w:eastAsia="Times New Roman" w:hAnsi="Times New Roman" w:cs="Times New Roman"/>
          <w:sz w:val="24"/>
          <w:szCs w:val="24"/>
          <w:lang w:eastAsia="bg-BG"/>
        </w:rPr>
        <w:t>обезпеч</w:t>
      </w:r>
      <w:r w:rsidRPr="00CE440F">
        <w:rPr>
          <w:rFonts w:ascii="Times New Roman" w:eastAsia="Times New Roman" w:hAnsi="Times New Roman" w:cs="Times New Roman"/>
          <w:sz w:val="24"/>
          <w:szCs w:val="24"/>
          <w:lang w:eastAsia="bg-BG"/>
        </w:rPr>
        <w:t>аване на регулярни плащания по вече сключени договори и</w:t>
      </w:r>
      <w:r w:rsidR="005E56A0" w:rsidRPr="00CE440F">
        <w:rPr>
          <w:rFonts w:ascii="Times New Roman" w:eastAsia="Times New Roman" w:hAnsi="Times New Roman" w:cs="Times New Roman"/>
          <w:sz w:val="24"/>
          <w:szCs w:val="24"/>
          <w:lang w:eastAsia="bg-BG"/>
        </w:rPr>
        <w:t xml:space="preserve"> реализиране на нови проекти, плащания по п</w:t>
      </w:r>
      <w:r w:rsidRPr="00CE440F">
        <w:rPr>
          <w:rFonts w:ascii="Times New Roman" w:eastAsia="Times New Roman" w:hAnsi="Times New Roman" w:cs="Times New Roman"/>
          <w:sz w:val="24"/>
          <w:szCs w:val="24"/>
          <w:lang w:eastAsia="bg-BG"/>
        </w:rPr>
        <w:t>редстоящи за сключване договори</w:t>
      </w:r>
      <w:r w:rsidR="005E56A0" w:rsidRPr="00CE440F">
        <w:rPr>
          <w:rFonts w:ascii="Times New Roman" w:eastAsia="Times New Roman" w:hAnsi="Times New Roman" w:cs="Times New Roman"/>
          <w:sz w:val="24"/>
          <w:szCs w:val="24"/>
          <w:lang w:eastAsia="bg-BG"/>
        </w:rPr>
        <w:t xml:space="preserve">, включващи оптимизация на инфраструктурата за поддържане и управление на базите данни на НЗОК, </w:t>
      </w:r>
    </w:p>
    <w:p w:rsidR="005222E9" w:rsidRPr="00CE440F" w:rsidRDefault="005E56A0" w:rsidP="005222E9">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В п</w:t>
      </w:r>
      <w:r w:rsidR="00AC578D" w:rsidRPr="00CE440F">
        <w:rPr>
          <w:rFonts w:ascii="Times New Roman" w:eastAsia="Times New Roman" w:hAnsi="Times New Roman" w:cs="Times New Roman"/>
          <w:sz w:val="24"/>
          <w:szCs w:val="24"/>
          <w:lang w:eastAsia="bg-BG"/>
        </w:rPr>
        <w:t>рогнозите са планирани средства</w:t>
      </w:r>
      <w:r w:rsidRPr="00CE440F">
        <w:rPr>
          <w:rFonts w:ascii="Times New Roman" w:eastAsia="Times New Roman" w:hAnsi="Times New Roman" w:cs="Times New Roman"/>
          <w:sz w:val="24"/>
          <w:szCs w:val="24"/>
          <w:lang w:eastAsia="bg-BG"/>
        </w:rPr>
        <w:t xml:space="preserve"> по водени съдебни дела, по които НЗОК е страна и за изпълнителни листове, представляващи законна лихва, обезщетение за забава и съдебни разноски, които са предявени към НЗОК през 20</w:t>
      </w:r>
      <w:r w:rsidR="00460052" w:rsidRPr="00CE440F">
        <w:rPr>
          <w:rFonts w:ascii="Times New Roman" w:eastAsia="Times New Roman" w:hAnsi="Times New Roman" w:cs="Times New Roman"/>
          <w:sz w:val="24"/>
          <w:szCs w:val="24"/>
          <w:lang w:val="en-US" w:eastAsia="bg-BG"/>
        </w:rPr>
        <w:t>20</w:t>
      </w:r>
      <w:r w:rsidRPr="00CE440F">
        <w:rPr>
          <w:rFonts w:ascii="Times New Roman" w:eastAsia="Times New Roman" w:hAnsi="Times New Roman" w:cs="Times New Roman"/>
          <w:sz w:val="24"/>
          <w:szCs w:val="24"/>
          <w:lang w:eastAsia="bg-BG"/>
        </w:rPr>
        <w:t xml:space="preserve"> г. и следва да бъдат предприети де</w:t>
      </w:r>
      <w:r w:rsidR="005222E9" w:rsidRPr="00CE440F">
        <w:rPr>
          <w:rFonts w:ascii="Times New Roman" w:eastAsia="Times New Roman" w:hAnsi="Times New Roman" w:cs="Times New Roman"/>
          <w:sz w:val="24"/>
          <w:szCs w:val="24"/>
          <w:lang w:eastAsia="bg-BG"/>
        </w:rPr>
        <w:t>йствия, за тяхното обезпечаване през 2021 година.</w:t>
      </w:r>
    </w:p>
    <w:p w:rsidR="005E56A0" w:rsidRPr="00CE440F" w:rsidRDefault="005E56A0" w:rsidP="005222E9">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rPr>
        <w:t xml:space="preserve">Процентът на общата сума на административните разходи и разходите за придобиване на нефинансови активи, спрямо общите разходите на НЗОК, по представената прогноза е </w:t>
      </w:r>
      <w:r w:rsidR="00460052" w:rsidRPr="00CE440F">
        <w:rPr>
          <w:rFonts w:ascii="Times New Roman" w:eastAsia="Times New Roman" w:hAnsi="Times New Roman" w:cs="Times New Roman"/>
          <w:sz w:val="24"/>
          <w:szCs w:val="24"/>
          <w:lang w:val="en-US"/>
        </w:rPr>
        <w:t>0,5</w:t>
      </w:r>
      <w:r w:rsidRPr="00CE440F">
        <w:rPr>
          <w:rFonts w:ascii="Times New Roman" w:eastAsia="Times New Roman" w:hAnsi="Times New Roman" w:cs="Times New Roman"/>
          <w:sz w:val="24"/>
          <w:szCs w:val="24"/>
        </w:rPr>
        <w:t>%, което е под допустимите 3%, съгласно чл.24, т.2 от ЗЗО.</w:t>
      </w:r>
    </w:p>
    <w:p w:rsidR="00F47484" w:rsidRPr="00CE440F" w:rsidRDefault="00F47484" w:rsidP="00DC1E52">
      <w:pPr>
        <w:keepNext/>
        <w:spacing w:before="60" w:after="0" w:line="300" w:lineRule="atLeast"/>
        <w:ind w:firstLine="709"/>
        <w:jc w:val="both"/>
        <w:rPr>
          <w:rFonts w:ascii="Times New Roman" w:eastAsia="Times New Roman" w:hAnsi="Times New Roman" w:cs="Times New Roman"/>
          <w:b/>
          <w:sz w:val="24"/>
          <w:szCs w:val="24"/>
        </w:rPr>
      </w:pP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1.1.3. Здравноосигурителни плащания</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Средствата за здравноосигурителни плащания за 20</w:t>
      </w:r>
      <w:r w:rsidR="00812101" w:rsidRPr="00CE440F">
        <w:rPr>
          <w:rFonts w:ascii="Times New Roman" w:eastAsia="Times New Roman" w:hAnsi="Times New Roman" w:cs="Times New Roman"/>
          <w:sz w:val="24"/>
          <w:szCs w:val="24"/>
        </w:rPr>
        <w:t>2</w:t>
      </w:r>
      <w:r w:rsidR="00DE4643" w:rsidRPr="00CE440F">
        <w:rPr>
          <w:rFonts w:ascii="Times New Roman" w:eastAsia="Times New Roman" w:hAnsi="Times New Roman" w:cs="Times New Roman"/>
          <w:sz w:val="24"/>
          <w:szCs w:val="24"/>
          <w:lang w:val="en-US"/>
        </w:rPr>
        <w:t>1</w:t>
      </w:r>
      <w:r w:rsidRPr="00CE440F">
        <w:rPr>
          <w:rFonts w:ascii="Times New Roman" w:eastAsia="Times New Roman" w:hAnsi="Times New Roman" w:cs="Times New Roman"/>
          <w:sz w:val="24"/>
          <w:szCs w:val="24"/>
        </w:rPr>
        <w:t> г.,</w:t>
      </w:r>
      <w:r w:rsidRPr="00CE440F">
        <w:rPr>
          <w:rFonts w:ascii="Times New Roman" w:eastAsia="Times New Roman" w:hAnsi="Times New Roman" w:cs="Times New Roman"/>
          <w:b/>
          <w:sz w:val="24"/>
          <w:szCs w:val="24"/>
        </w:rPr>
        <w:t xml:space="preserve"> </w:t>
      </w:r>
      <w:r w:rsidRPr="00CE440F">
        <w:rPr>
          <w:rFonts w:ascii="Times New Roman" w:eastAsia="Times New Roman" w:hAnsi="Times New Roman" w:cs="Times New Roman"/>
          <w:sz w:val="24"/>
          <w:szCs w:val="24"/>
        </w:rPr>
        <w:t>са в размер на</w:t>
      </w:r>
      <w:r w:rsidRPr="00CE440F">
        <w:rPr>
          <w:rFonts w:ascii="Times New Roman" w:eastAsia="Times New Roman" w:hAnsi="Times New Roman" w:cs="Times New Roman"/>
          <w:b/>
          <w:sz w:val="24"/>
          <w:szCs w:val="24"/>
        </w:rPr>
        <w:t xml:space="preserve"> </w:t>
      </w:r>
      <w:r w:rsidR="00DE4643" w:rsidRPr="00CE440F">
        <w:rPr>
          <w:rFonts w:ascii="Times New Roman" w:eastAsia="Times New Roman" w:hAnsi="Times New Roman" w:cs="Times New Roman"/>
          <w:b/>
          <w:sz w:val="24"/>
          <w:szCs w:val="24"/>
        </w:rPr>
        <w:t>4 </w:t>
      </w:r>
      <w:r w:rsidR="006B49E7" w:rsidRPr="00CE440F">
        <w:rPr>
          <w:rFonts w:ascii="Times New Roman" w:eastAsia="Times New Roman" w:hAnsi="Times New Roman" w:cs="Times New Roman"/>
          <w:b/>
          <w:sz w:val="24"/>
          <w:szCs w:val="24"/>
        </w:rPr>
        <w:t>76</w:t>
      </w:r>
      <w:r w:rsidR="00496028" w:rsidRPr="00CE440F">
        <w:rPr>
          <w:rFonts w:ascii="Times New Roman" w:eastAsia="Times New Roman" w:hAnsi="Times New Roman" w:cs="Times New Roman"/>
          <w:b/>
          <w:sz w:val="24"/>
          <w:szCs w:val="24"/>
        </w:rPr>
        <w:t>4</w:t>
      </w:r>
      <w:r w:rsidR="00DE4643" w:rsidRPr="00CE440F">
        <w:rPr>
          <w:rFonts w:ascii="Times New Roman" w:eastAsia="Times New Roman" w:hAnsi="Times New Roman" w:cs="Times New Roman"/>
          <w:b/>
          <w:sz w:val="24"/>
          <w:szCs w:val="24"/>
        </w:rPr>
        <w:t> </w:t>
      </w:r>
      <w:r w:rsidR="00496028" w:rsidRPr="00CE440F">
        <w:rPr>
          <w:rFonts w:ascii="Times New Roman" w:eastAsia="Times New Roman" w:hAnsi="Times New Roman" w:cs="Times New Roman"/>
          <w:b/>
          <w:sz w:val="24"/>
          <w:szCs w:val="24"/>
        </w:rPr>
        <w:t>720</w:t>
      </w:r>
      <w:r w:rsidR="00DE4643" w:rsidRPr="00CE440F">
        <w:rPr>
          <w:rFonts w:ascii="Times New Roman" w:eastAsia="Times New Roman" w:hAnsi="Times New Roman" w:cs="Times New Roman"/>
          <w:b/>
          <w:sz w:val="24"/>
          <w:szCs w:val="24"/>
        </w:rPr>
        <w:t>,</w:t>
      </w:r>
      <w:r w:rsidR="006B49E7" w:rsidRPr="00CE440F">
        <w:rPr>
          <w:rFonts w:ascii="Times New Roman" w:eastAsia="Times New Roman" w:hAnsi="Times New Roman" w:cs="Times New Roman"/>
          <w:b/>
          <w:sz w:val="24"/>
          <w:szCs w:val="24"/>
        </w:rPr>
        <w:t>1</w:t>
      </w:r>
      <w:r w:rsidR="00DE4643" w:rsidRPr="00CE440F">
        <w:rPr>
          <w:rFonts w:ascii="Times New Roman" w:eastAsia="Times New Roman" w:hAnsi="Times New Roman" w:cs="Times New Roman"/>
          <w:b/>
          <w:sz w:val="24"/>
          <w:szCs w:val="24"/>
        </w:rPr>
        <w:t> </w:t>
      </w:r>
      <w:r w:rsidRPr="00CE440F">
        <w:rPr>
          <w:rFonts w:ascii="Times New Roman" w:eastAsia="Times New Roman" w:hAnsi="Times New Roman" w:cs="Times New Roman"/>
          <w:b/>
          <w:sz w:val="24"/>
          <w:szCs w:val="24"/>
        </w:rPr>
        <w:t>хил.</w:t>
      </w:r>
      <w:r w:rsidR="00DE4643" w:rsidRPr="00CE440F">
        <w:rPr>
          <w:rFonts w:ascii="Times New Roman" w:eastAsia="Times New Roman" w:hAnsi="Times New Roman" w:cs="Times New Roman"/>
          <w:b/>
          <w:sz w:val="24"/>
          <w:szCs w:val="24"/>
        </w:rPr>
        <w:t> </w:t>
      </w:r>
      <w:r w:rsidRPr="00CE440F">
        <w:rPr>
          <w:rFonts w:ascii="Times New Roman" w:eastAsia="Times New Roman" w:hAnsi="Times New Roman" w:cs="Times New Roman"/>
          <w:b/>
          <w:sz w:val="24"/>
          <w:szCs w:val="24"/>
        </w:rPr>
        <w:t xml:space="preserve">лв., </w:t>
      </w:r>
      <w:r w:rsidRPr="00CE440F">
        <w:rPr>
          <w:rFonts w:ascii="Times New Roman" w:eastAsia="Times New Roman" w:hAnsi="Times New Roman" w:cs="Times New Roman"/>
          <w:sz w:val="24"/>
          <w:szCs w:val="24"/>
        </w:rPr>
        <w:t xml:space="preserve">което представлява увеличение с </w:t>
      </w:r>
      <w:r w:rsidR="006B49E7" w:rsidRPr="00CE440F">
        <w:rPr>
          <w:rFonts w:ascii="Times New Roman" w:eastAsia="Times New Roman" w:hAnsi="Times New Roman" w:cs="Times New Roman"/>
          <w:sz w:val="24"/>
          <w:szCs w:val="24"/>
        </w:rPr>
        <w:t>31</w:t>
      </w:r>
      <w:r w:rsidR="00496028" w:rsidRPr="00CE440F">
        <w:rPr>
          <w:rFonts w:ascii="Times New Roman" w:eastAsia="Times New Roman" w:hAnsi="Times New Roman" w:cs="Times New Roman"/>
          <w:sz w:val="24"/>
          <w:szCs w:val="24"/>
        </w:rPr>
        <w:t>0</w:t>
      </w:r>
      <w:r w:rsidR="00DE4643" w:rsidRPr="00CE440F">
        <w:rPr>
          <w:rFonts w:ascii="Times New Roman" w:eastAsia="Times New Roman" w:hAnsi="Times New Roman" w:cs="Times New Roman"/>
          <w:sz w:val="24"/>
          <w:szCs w:val="24"/>
        </w:rPr>
        <w:t> </w:t>
      </w:r>
      <w:r w:rsidR="00496028" w:rsidRPr="00CE440F">
        <w:rPr>
          <w:rFonts w:ascii="Times New Roman" w:eastAsia="Times New Roman" w:hAnsi="Times New Roman" w:cs="Times New Roman"/>
          <w:sz w:val="24"/>
          <w:szCs w:val="24"/>
        </w:rPr>
        <w:t>743</w:t>
      </w:r>
      <w:r w:rsidR="00DE4643" w:rsidRPr="00CE440F">
        <w:rPr>
          <w:rFonts w:ascii="Times New Roman" w:eastAsia="Times New Roman" w:hAnsi="Times New Roman" w:cs="Times New Roman"/>
          <w:sz w:val="24"/>
          <w:szCs w:val="24"/>
        </w:rPr>
        <w:t>,</w:t>
      </w:r>
      <w:r w:rsidR="006B49E7" w:rsidRPr="00CE440F">
        <w:rPr>
          <w:rFonts w:ascii="Times New Roman" w:eastAsia="Times New Roman" w:hAnsi="Times New Roman" w:cs="Times New Roman"/>
          <w:sz w:val="24"/>
          <w:szCs w:val="24"/>
        </w:rPr>
        <w:t>3</w:t>
      </w:r>
      <w:r w:rsidRPr="00CE440F">
        <w:rPr>
          <w:rFonts w:ascii="Times New Roman" w:eastAsia="Times New Roman" w:hAnsi="Times New Roman" w:cs="Times New Roman"/>
          <w:sz w:val="24"/>
          <w:szCs w:val="24"/>
        </w:rPr>
        <w:t> хил. лв. спрямо ЗБНЗОК за 20</w:t>
      </w:r>
      <w:r w:rsidR="00DE4643" w:rsidRPr="00CE440F">
        <w:rPr>
          <w:rFonts w:ascii="Times New Roman" w:eastAsia="Times New Roman" w:hAnsi="Times New Roman" w:cs="Times New Roman"/>
          <w:sz w:val="24"/>
          <w:szCs w:val="24"/>
        </w:rPr>
        <w:t>20</w:t>
      </w:r>
      <w:r w:rsidRPr="00CE440F">
        <w:rPr>
          <w:rFonts w:ascii="Times New Roman" w:eastAsia="Times New Roman" w:hAnsi="Times New Roman" w:cs="Times New Roman"/>
          <w:sz w:val="24"/>
          <w:szCs w:val="24"/>
        </w:rPr>
        <w:t xml:space="preserve"> г. </w:t>
      </w: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Очакваните резултати, които се планират да се постигнат през 20</w:t>
      </w:r>
      <w:r w:rsidR="001538D8" w:rsidRPr="00CE440F">
        <w:rPr>
          <w:rFonts w:ascii="Times New Roman" w:eastAsia="Times New Roman" w:hAnsi="Times New Roman" w:cs="Times New Roman"/>
          <w:b/>
          <w:sz w:val="24"/>
          <w:szCs w:val="24"/>
        </w:rPr>
        <w:t>2</w:t>
      </w:r>
      <w:r w:rsidR="00DE4643" w:rsidRPr="00CE440F">
        <w:rPr>
          <w:rFonts w:ascii="Times New Roman" w:eastAsia="Times New Roman" w:hAnsi="Times New Roman" w:cs="Times New Roman"/>
          <w:b/>
          <w:sz w:val="24"/>
          <w:szCs w:val="24"/>
        </w:rPr>
        <w:t>1</w:t>
      </w:r>
      <w:r w:rsidRPr="00CE440F">
        <w:rPr>
          <w:rFonts w:ascii="Times New Roman" w:eastAsia="Times New Roman" w:hAnsi="Times New Roman" w:cs="Times New Roman"/>
          <w:b/>
          <w:sz w:val="24"/>
          <w:szCs w:val="24"/>
        </w:rPr>
        <w:t> г., в рамките на заложените в проекта на ЗБНЗОК за 20</w:t>
      </w:r>
      <w:r w:rsidR="001538D8" w:rsidRPr="00CE440F">
        <w:rPr>
          <w:rFonts w:ascii="Times New Roman" w:eastAsia="Times New Roman" w:hAnsi="Times New Roman" w:cs="Times New Roman"/>
          <w:b/>
          <w:sz w:val="24"/>
          <w:szCs w:val="24"/>
        </w:rPr>
        <w:t>2</w:t>
      </w:r>
      <w:r w:rsidR="00DE4643" w:rsidRPr="00CE440F">
        <w:rPr>
          <w:rFonts w:ascii="Times New Roman" w:eastAsia="Times New Roman" w:hAnsi="Times New Roman" w:cs="Times New Roman"/>
          <w:b/>
          <w:sz w:val="24"/>
          <w:szCs w:val="24"/>
        </w:rPr>
        <w:t>1</w:t>
      </w:r>
      <w:r w:rsidRPr="00CE440F">
        <w:rPr>
          <w:rFonts w:ascii="Times New Roman" w:eastAsia="Times New Roman" w:hAnsi="Times New Roman" w:cs="Times New Roman"/>
          <w:b/>
          <w:sz w:val="24"/>
          <w:szCs w:val="24"/>
        </w:rPr>
        <w:t xml:space="preserve"> г. средства за здравноосигурителни плащания са следните:</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обезпечаване ефективното функциониране на системата на задължителното здравно осигуряване;</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осигуряване на здравноосигурените лица (ЗОЛ) на достъпна, качествена и своевременна медицинска помощ;</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сключване на договорите по чл.59, ал.1 от ЗЗО между НЗОК и изпълнителите на медицинска помощ по смисъла на чл.58 от ЗЗО;</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равнопоставен достъп на лечебните заведения до системата на задължителното здравно осигуряване, при спазване изискванията на закона.</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 съответствие с разпоредбите на ЗЗО, НЗОК планира и договаря закупуването в полза на здравноосигурените лица на медицинската помощ в обхвата на задължителното здравно осигуряване в рамките на обемите, договорени в Националните рамкови договори (НРД) или в решението на Надзорния съвет на НЗОК и в съответствие с параметрите на разходите по бюджета на НЗОК, определени в годишния размер на средствата по ЗБНЗОК. </w:t>
      </w:r>
    </w:p>
    <w:p w:rsidR="00CC062A" w:rsidRPr="00CE440F" w:rsidRDefault="00CC062A" w:rsidP="00DC1E52">
      <w:pPr>
        <w:keepNext/>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lastRenderedPageBreak/>
        <w:t>Националната здравноосигурителна каса предлага следното разпределение на средствата за здравноосигурителни плащания по бюджета за 20</w:t>
      </w:r>
      <w:r w:rsidR="001538D8" w:rsidRPr="00CE440F">
        <w:rPr>
          <w:rFonts w:ascii="Times New Roman" w:eastAsia="Times New Roman" w:hAnsi="Times New Roman" w:cs="Times New Roman"/>
          <w:sz w:val="24"/>
          <w:szCs w:val="24"/>
        </w:rPr>
        <w:t>2</w:t>
      </w:r>
      <w:r w:rsidR="00DE4643"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година:</w:t>
      </w:r>
    </w:p>
    <w:p w:rsidR="00CC062A" w:rsidRPr="00CE440F" w:rsidRDefault="00CC062A" w:rsidP="00496028">
      <w:pPr>
        <w:jc w:val="both"/>
        <w:rPr>
          <w:rFonts w:ascii="Times New Roman" w:eastAsia="Times New Roman" w:hAnsi="Times New Roman" w:cs="Times New Roman"/>
          <w:sz w:val="20"/>
          <w:szCs w:val="20"/>
        </w:rPr>
      </w:pPr>
      <w:r w:rsidRPr="00CE440F">
        <w:rPr>
          <w:rFonts w:ascii="Times New Roman" w:eastAsia="Times New Roman" w:hAnsi="Times New Roman" w:cs="Times New Roman"/>
          <w:sz w:val="24"/>
          <w:szCs w:val="24"/>
        </w:rPr>
        <w:t>1. за медицински дейности, съгласно чл.1, ал.2 от проекта на ЗБНЗОК за 20</w:t>
      </w:r>
      <w:r w:rsidR="001538D8" w:rsidRPr="00CE440F">
        <w:rPr>
          <w:rFonts w:ascii="Times New Roman" w:eastAsia="Times New Roman" w:hAnsi="Times New Roman" w:cs="Times New Roman"/>
          <w:sz w:val="24"/>
          <w:szCs w:val="24"/>
        </w:rPr>
        <w:t>2</w:t>
      </w:r>
      <w:r w:rsidR="00DE4643"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w:t>
      </w:r>
      <w:r w:rsidR="00DE4643" w:rsidRPr="00CE440F">
        <w:rPr>
          <w:rFonts w:ascii="Times New Roman" w:eastAsia="Times New Roman" w:hAnsi="Times New Roman" w:cs="Times New Roman"/>
          <w:sz w:val="24"/>
          <w:szCs w:val="24"/>
        </w:rPr>
        <w:t xml:space="preserve"> </w:t>
      </w:r>
      <w:r w:rsidR="0005723F" w:rsidRPr="00CE440F">
        <w:rPr>
          <w:rFonts w:ascii="Times New Roman" w:eastAsia="Times New Roman" w:hAnsi="Times New Roman" w:cs="Times New Roman"/>
          <w:sz w:val="24"/>
          <w:szCs w:val="24"/>
        </w:rPr>
        <w:t>3</w:t>
      </w:r>
      <w:r w:rsidR="00496028" w:rsidRPr="00CE440F">
        <w:rPr>
          <w:rFonts w:ascii="Times New Roman" w:eastAsia="Times New Roman" w:hAnsi="Times New Roman" w:cs="Times New Roman"/>
          <w:sz w:val="24"/>
          <w:szCs w:val="24"/>
        </w:rPr>
        <w:t> </w:t>
      </w:r>
      <w:r w:rsidR="0005723F" w:rsidRPr="00CE440F">
        <w:rPr>
          <w:rFonts w:ascii="Times New Roman" w:eastAsia="Times New Roman" w:hAnsi="Times New Roman" w:cs="Times New Roman"/>
          <w:sz w:val="24"/>
          <w:szCs w:val="24"/>
        </w:rPr>
        <w:t xml:space="preserve">039 352,1 </w:t>
      </w:r>
      <w:r w:rsidRPr="00CE440F">
        <w:rPr>
          <w:rFonts w:ascii="Times New Roman" w:eastAsia="Times New Roman" w:hAnsi="Times New Roman" w:cs="Times New Roman"/>
          <w:sz w:val="24"/>
          <w:szCs w:val="24"/>
        </w:rPr>
        <w:t xml:space="preserve">хил. лв., в т.ч: </w:t>
      </w:r>
    </w:p>
    <w:p w:rsidR="00CC062A" w:rsidRPr="00CE440F" w:rsidRDefault="00CC062A"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 първична извънболнична медицинска помощ – </w:t>
      </w:r>
      <w:r w:rsidR="00DE4643" w:rsidRPr="00CE440F">
        <w:rPr>
          <w:rFonts w:ascii="Times New Roman" w:eastAsia="Times New Roman" w:hAnsi="Times New Roman" w:cs="Times New Roman"/>
          <w:sz w:val="24"/>
          <w:szCs w:val="24"/>
        </w:rPr>
        <w:t>2</w:t>
      </w:r>
      <w:r w:rsidR="006B49E7" w:rsidRPr="00CE440F">
        <w:rPr>
          <w:rFonts w:ascii="Times New Roman" w:eastAsia="Times New Roman" w:hAnsi="Times New Roman" w:cs="Times New Roman"/>
          <w:sz w:val="24"/>
          <w:szCs w:val="24"/>
        </w:rPr>
        <w:t>61</w:t>
      </w:r>
      <w:r w:rsidR="00DE4643" w:rsidRPr="00CE440F">
        <w:rPr>
          <w:rFonts w:ascii="Times New Roman" w:eastAsia="Times New Roman" w:hAnsi="Times New Roman" w:cs="Times New Roman"/>
          <w:sz w:val="24"/>
          <w:szCs w:val="24"/>
        </w:rPr>
        <w:t> </w:t>
      </w:r>
      <w:r w:rsidR="006B49E7" w:rsidRPr="00CE440F">
        <w:rPr>
          <w:rFonts w:ascii="Times New Roman" w:eastAsia="Times New Roman" w:hAnsi="Times New Roman" w:cs="Times New Roman"/>
          <w:sz w:val="24"/>
          <w:szCs w:val="24"/>
        </w:rPr>
        <w:t>080</w:t>
      </w:r>
      <w:r w:rsidR="00DE4643"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w:t>
      </w:r>
    </w:p>
    <w:p w:rsidR="00CC062A" w:rsidRPr="00CE440F" w:rsidRDefault="00CC062A"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1.2. специализирана извънболнична медицинска помощ (вкл. за комплексно диспансерно (амбулаторно) наблюдение)</w:t>
      </w:r>
      <w:r w:rsidRPr="00CE440F">
        <w:rPr>
          <w:rFonts w:ascii="Times New Roman" w:eastAsia="Times New Roman" w:hAnsi="Times New Roman" w:cs="Times New Roman"/>
          <w:sz w:val="24"/>
          <w:szCs w:val="24"/>
        </w:rPr>
        <w:tab/>
      </w:r>
      <w:r w:rsidR="006B49E7" w:rsidRPr="00CE440F">
        <w:rPr>
          <w:rFonts w:ascii="Times New Roman" w:eastAsia="Times New Roman" w:hAnsi="Times New Roman" w:cs="Times New Roman"/>
          <w:sz w:val="24"/>
          <w:szCs w:val="24"/>
        </w:rPr>
        <w:t xml:space="preserve"> и здравни грижи</w:t>
      </w:r>
      <w:r w:rsidRPr="00CE440F">
        <w:rPr>
          <w:rFonts w:ascii="Times New Roman" w:eastAsia="Times New Roman" w:hAnsi="Times New Roman" w:cs="Times New Roman"/>
          <w:sz w:val="24"/>
          <w:szCs w:val="24"/>
        </w:rPr>
        <w:t xml:space="preserve"> – </w:t>
      </w:r>
      <w:r w:rsidR="006B49E7" w:rsidRPr="00CE440F">
        <w:rPr>
          <w:rFonts w:ascii="Times New Roman" w:eastAsia="Times New Roman" w:hAnsi="Times New Roman" w:cs="Times New Roman"/>
          <w:sz w:val="24"/>
          <w:szCs w:val="24"/>
        </w:rPr>
        <w:t>303</w:t>
      </w:r>
      <w:r w:rsidR="00DE4643" w:rsidRPr="00CE440F">
        <w:rPr>
          <w:rFonts w:ascii="Times New Roman" w:eastAsia="Times New Roman" w:hAnsi="Times New Roman" w:cs="Times New Roman"/>
          <w:sz w:val="24"/>
          <w:szCs w:val="24"/>
        </w:rPr>
        <w:t> </w:t>
      </w:r>
      <w:r w:rsidR="006B49E7" w:rsidRPr="00CE440F">
        <w:rPr>
          <w:rFonts w:ascii="Times New Roman" w:eastAsia="Times New Roman" w:hAnsi="Times New Roman" w:cs="Times New Roman"/>
          <w:sz w:val="24"/>
          <w:szCs w:val="24"/>
        </w:rPr>
        <w:t>229</w:t>
      </w:r>
      <w:r w:rsidR="00DE4643" w:rsidRPr="00CE440F">
        <w:rPr>
          <w:rFonts w:ascii="Times New Roman" w:eastAsia="Times New Roman" w:hAnsi="Times New Roman" w:cs="Times New Roman"/>
          <w:sz w:val="24"/>
          <w:szCs w:val="24"/>
        </w:rPr>
        <w:t xml:space="preserve"> </w:t>
      </w:r>
      <w:r w:rsidR="006B49E7" w:rsidRPr="00CE440F">
        <w:rPr>
          <w:rFonts w:ascii="Times New Roman" w:eastAsia="Times New Roman" w:hAnsi="Times New Roman" w:cs="Times New Roman"/>
          <w:sz w:val="24"/>
          <w:szCs w:val="24"/>
        </w:rPr>
        <w:t>хил. лв.:</w:t>
      </w:r>
    </w:p>
    <w:p w:rsidR="006B49E7" w:rsidRPr="00CE440F" w:rsidRDefault="006B49E7"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1.2.1 в т.ч. специализирана извънболнична медицинска помощ (вкл. за комплексно диспансерно (амбу</w:t>
      </w:r>
      <w:r w:rsidR="0024313E" w:rsidRPr="00CE440F">
        <w:rPr>
          <w:rFonts w:ascii="Times New Roman" w:eastAsia="Times New Roman" w:hAnsi="Times New Roman" w:cs="Times New Roman"/>
          <w:sz w:val="24"/>
          <w:szCs w:val="24"/>
        </w:rPr>
        <w:t>латорно) наблюдение) – 283 229</w:t>
      </w:r>
      <w:r w:rsidRPr="00CE440F">
        <w:rPr>
          <w:rFonts w:ascii="Times New Roman" w:eastAsia="Times New Roman" w:hAnsi="Times New Roman" w:cs="Times New Roman"/>
          <w:sz w:val="24"/>
          <w:szCs w:val="24"/>
        </w:rPr>
        <w:t xml:space="preserve"> хил. лв.;</w:t>
      </w:r>
    </w:p>
    <w:p w:rsidR="006B49E7" w:rsidRPr="00CE440F" w:rsidRDefault="006B49E7"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1.2.2</w:t>
      </w:r>
      <w:r w:rsidR="0024313E" w:rsidRPr="00CE440F">
        <w:rPr>
          <w:rFonts w:ascii="Times New Roman" w:eastAsia="Times New Roman" w:hAnsi="Times New Roman" w:cs="Times New Roman"/>
          <w:sz w:val="24"/>
          <w:szCs w:val="24"/>
        </w:rPr>
        <w:t xml:space="preserve"> в т.ч. здравни грижи – 20 000</w:t>
      </w:r>
      <w:r w:rsidRPr="00CE440F">
        <w:rPr>
          <w:rFonts w:ascii="Times New Roman" w:eastAsia="Times New Roman" w:hAnsi="Times New Roman" w:cs="Times New Roman"/>
          <w:sz w:val="24"/>
          <w:szCs w:val="24"/>
        </w:rPr>
        <w:t xml:space="preserve"> хил.лв.;</w:t>
      </w:r>
    </w:p>
    <w:p w:rsidR="00CC062A" w:rsidRPr="00CE440F" w:rsidRDefault="00CC062A"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1.3. медико-диагностична дейност </w:t>
      </w:r>
      <w:r w:rsidR="00DE4643" w:rsidRPr="00CE440F">
        <w:rPr>
          <w:rFonts w:ascii="Times New Roman" w:eastAsia="Times New Roman" w:hAnsi="Times New Roman" w:cs="Times New Roman"/>
          <w:sz w:val="24"/>
          <w:szCs w:val="24"/>
        </w:rPr>
        <w:t xml:space="preserve">– </w:t>
      </w:r>
      <w:r w:rsidR="006B49E7" w:rsidRPr="00CE440F">
        <w:rPr>
          <w:rFonts w:ascii="Times New Roman" w:eastAsia="Times New Roman" w:hAnsi="Times New Roman" w:cs="Times New Roman"/>
          <w:sz w:val="24"/>
          <w:szCs w:val="24"/>
        </w:rPr>
        <w:t>100</w:t>
      </w:r>
      <w:r w:rsidR="00DE4643" w:rsidRPr="00CE440F">
        <w:rPr>
          <w:rFonts w:ascii="Times New Roman" w:eastAsia="Times New Roman" w:hAnsi="Times New Roman" w:cs="Times New Roman"/>
          <w:sz w:val="24"/>
          <w:szCs w:val="24"/>
        </w:rPr>
        <w:t> </w:t>
      </w:r>
      <w:r w:rsidR="006B49E7" w:rsidRPr="00CE440F">
        <w:rPr>
          <w:rFonts w:ascii="Times New Roman" w:eastAsia="Times New Roman" w:hAnsi="Times New Roman" w:cs="Times New Roman"/>
          <w:sz w:val="24"/>
          <w:szCs w:val="24"/>
        </w:rPr>
        <w:t>901</w:t>
      </w:r>
      <w:r w:rsidR="00DE4643"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w:t>
      </w:r>
    </w:p>
    <w:p w:rsidR="00CC062A" w:rsidRPr="00CE440F" w:rsidRDefault="00CC062A" w:rsidP="00DC1E52">
      <w:pPr>
        <w:spacing w:before="60" w:after="0" w:line="300" w:lineRule="atLeast"/>
        <w:ind w:left="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1.4. болнична медицинска помощ – </w:t>
      </w:r>
      <w:r w:rsidR="00DE4643" w:rsidRPr="00CE440F">
        <w:rPr>
          <w:rFonts w:ascii="Times New Roman" w:eastAsia="Times New Roman" w:hAnsi="Times New Roman" w:cs="Times New Roman"/>
          <w:sz w:val="24"/>
          <w:szCs w:val="24"/>
        </w:rPr>
        <w:t>2 3</w:t>
      </w:r>
      <w:r w:rsidR="006B49E7" w:rsidRPr="00CE440F">
        <w:rPr>
          <w:rFonts w:ascii="Times New Roman" w:eastAsia="Times New Roman" w:hAnsi="Times New Roman" w:cs="Times New Roman"/>
          <w:sz w:val="24"/>
          <w:szCs w:val="24"/>
        </w:rPr>
        <w:t>74</w:t>
      </w:r>
      <w:r w:rsidR="00DE4643" w:rsidRPr="00CE440F">
        <w:rPr>
          <w:rFonts w:ascii="Times New Roman" w:eastAsia="Times New Roman" w:hAnsi="Times New Roman" w:cs="Times New Roman"/>
          <w:sz w:val="24"/>
          <w:szCs w:val="24"/>
        </w:rPr>
        <w:t> </w:t>
      </w:r>
      <w:r w:rsidR="006B49E7" w:rsidRPr="00CE440F">
        <w:rPr>
          <w:rFonts w:ascii="Times New Roman" w:eastAsia="Times New Roman" w:hAnsi="Times New Roman" w:cs="Times New Roman"/>
          <w:sz w:val="24"/>
          <w:szCs w:val="24"/>
        </w:rPr>
        <w:t>142</w:t>
      </w:r>
      <w:r w:rsidR="00DE4643" w:rsidRPr="00CE440F">
        <w:rPr>
          <w:rFonts w:ascii="Times New Roman" w:eastAsia="Times New Roman" w:hAnsi="Times New Roman" w:cs="Times New Roman"/>
          <w:sz w:val="24"/>
          <w:szCs w:val="24"/>
        </w:rPr>
        <w:t>,</w:t>
      </w:r>
      <w:r w:rsidR="006B49E7" w:rsidRPr="00CE440F">
        <w:rPr>
          <w:rFonts w:ascii="Times New Roman" w:eastAsia="Times New Roman" w:hAnsi="Times New Roman" w:cs="Times New Roman"/>
          <w:sz w:val="24"/>
          <w:szCs w:val="24"/>
        </w:rPr>
        <w:t>1</w:t>
      </w:r>
      <w:r w:rsidR="00DE4643"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2. за дентални дейности, съгласно чл.1, ал.2 от проекта на ЗБНЗОК за 20</w:t>
      </w:r>
      <w:r w:rsidR="001538D8" w:rsidRPr="00CE440F">
        <w:rPr>
          <w:rFonts w:ascii="Times New Roman" w:eastAsia="Times New Roman" w:hAnsi="Times New Roman" w:cs="Times New Roman"/>
          <w:sz w:val="24"/>
          <w:szCs w:val="24"/>
        </w:rPr>
        <w:t>2</w:t>
      </w:r>
      <w:r w:rsidR="009411DB"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 </w:t>
      </w:r>
      <w:r w:rsidR="009411DB" w:rsidRPr="00CE440F">
        <w:rPr>
          <w:rFonts w:ascii="Times New Roman" w:eastAsia="Times New Roman" w:hAnsi="Times New Roman" w:cs="Times New Roman"/>
          <w:sz w:val="24"/>
          <w:szCs w:val="24"/>
        </w:rPr>
        <w:t>1</w:t>
      </w:r>
      <w:r w:rsidR="006B49E7" w:rsidRPr="00CE440F">
        <w:rPr>
          <w:rFonts w:ascii="Times New Roman" w:eastAsia="Times New Roman" w:hAnsi="Times New Roman" w:cs="Times New Roman"/>
          <w:sz w:val="24"/>
          <w:szCs w:val="24"/>
        </w:rPr>
        <w:t>92</w:t>
      </w:r>
      <w:r w:rsidR="009411DB" w:rsidRPr="00CE440F">
        <w:rPr>
          <w:rFonts w:ascii="Times New Roman" w:eastAsia="Times New Roman" w:hAnsi="Times New Roman" w:cs="Times New Roman"/>
          <w:sz w:val="24"/>
          <w:szCs w:val="24"/>
        </w:rPr>
        <w:t> </w:t>
      </w:r>
      <w:r w:rsidR="006B49E7" w:rsidRPr="00CE440F">
        <w:rPr>
          <w:rFonts w:ascii="Times New Roman" w:eastAsia="Times New Roman" w:hAnsi="Times New Roman" w:cs="Times New Roman"/>
          <w:sz w:val="24"/>
          <w:szCs w:val="24"/>
        </w:rPr>
        <w:t>386</w:t>
      </w:r>
      <w:r w:rsidR="009411DB"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хил. лв.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3. за лекарствени продукти, медицински изделия и диетични храни за специални медицински цели, съгласно чл.1, ал.2 от проекта на ЗБНЗОК за 20</w:t>
      </w:r>
      <w:r w:rsidR="00BB0FDD" w:rsidRPr="00CE440F">
        <w:rPr>
          <w:rFonts w:ascii="Times New Roman" w:eastAsia="Times New Roman" w:hAnsi="Times New Roman" w:cs="Times New Roman"/>
          <w:sz w:val="24"/>
          <w:szCs w:val="24"/>
        </w:rPr>
        <w:t>2</w:t>
      </w:r>
      <w:r w:rsidR="004468B4"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 на обща стойност от </w:t>
      </w:r>
      <w:r w:rsidR="0024313E" w:rsidRPr="00CE440F">
        <w:rPr>
          <w:rFonts w:ascii="Times New Roman" w:eastAsia="Times New Roman" w:hAnsi="Times New Roman" w:cs="Times New Roman"/>
          <w:sz w:val="24"/>
          <w:szCs w:val="24"/>
        </w:rPr>
        <w:t>1 4</w:t>
      </w:r>
      <w:r w:rsidR="007A58BF" w:rsidRPr="00CE440F">
        <w:rPr>
          <w:rFonts w:ascii="Times New Roman" w:eastAsia="Times New Roman" w:hAnsi="Times New Roman" w:cs="Times New Roman"/>
          <w:sz w:val="24"/>
          <w:szCs w:val="24"/>
        </w:rPr>
        <w:t>47</w:t>
      </w:r>
      <w:r w:rsidR="0024313E" w:rsidRPr="00CE440F">
        <w:rPr>
          <w:rFonts w:ascii="Times New Roman" w:eastAsia="Times New Roman" w:hAnsi="Times New Roman" w:cs="Times New Roman"/>
          <w:sz w:val="24"/>
          <w:szCs w:val="24"/>
        </w:rPr>
        <w:t> </w:t>
      </w:r>
      <w:r w:rsidR="007A58BF" w:rsidRPr="00CE440F">
        <w:rPr>
          <w:rFonts w:ascii="Times New Roman" w:eastAsia="Times New Roman" w:hAnsi="Times New Roman" w:cs="Times New Roman"/>
          <w:sz w:val="24"/>
          <w:szCs w:val="24"/>
        </w:rPr>
        <w:t>982</w:t>
      </w:r>
      <w:r w:rsidR="00382549"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хил. лв., като в това число се включват здравноосигурителните плащания за: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3.1. </w:t>
      </w:r>
      <w:r w:rsidR="00E31B73" w:rsidRPr="00CE440F">
        <w:rPr>
          <w:rFonts w:ascii="Times New Roman" w:eastAsia="Times New Roman" w:hAnsi="Times New Roman" w:cs="Times New Roman"/>
          <w:sz w:val="24"/>
          <w:szCs w:val="24"/>
        </w:rPr>
        <w:t>за лекарствени продукти, медицински изделия и диетични храни за специални медицински цели за домашно лечение на територията на страната</w:t>
      </w:r>
      <w:r w:rsidR="00382549" w:rsidRPr="00CE440F">
        <w:rPr>
          <w:rFonts w:ascii="Times New Roman" w:eastAsia="Times New Roman" w:hAnsi="Times New Roman" w:cs="Times New Roman"/>
          <w:sz w:val="24"/>
          <w:szCs w:val="24"/>
        </w:rPr>
        <w:t>,</w:t>
      </w:r>
      <w:r w:rsidR="00E31B73" w:rsidRPr="00CE440F">
        <w:rPr>
          <w:rFonts w:ascii="Times New Roman" w:eastAsia="Times New Roman" w:hAnsi="Times New Roman" w:cs="Times New Roman"/>
          <w:sz w:val="24"/>
          <w:szCs w:val="24"/>
        </w:rPr>
        <w:t xml:space="preserve"> </w:t>
      </w:r>
      <w:r w:rsidR="00382549" w:rsidRPr="00CE440F">
        <w:rPr>
          <w:rFonts w:ascii="Times New Roman" w:eastAsia="Times New Roman" w:hAnsi="Times New Roman" w:cs="Times New Roman"/>
          <w:sz w:val="24"/>
          <w:szCs w:val="24"/>
        </w:rPr>
        <w:t xml:space="preserve">с изключение на попадащите в групата на лекарствените продукти по ред 1.1.3.5.3 </w:t>
      </w:r>
      <w:r w:rsidRPr="00CE440F">
        <w:rPr>
          <w:rFonts w:ascii="Times New Roman" w:eastAsia="Times New Roman" w:hAnsi="Times New Roman" w:cs="Times New Roman"/>
          <w:sz w:val="24"/>
          <w:szCs w:val="24"/>
        </w:rPr>
        <w:t xml:space="preserve">– </w:t>
      </w:r>
      <w:r w:rsidR="00470612" w:rsidRPr="00CE440F">
        <w:rPr>
          <w:rFonts w:ascii="Times New Roman" w:eastAsia="Times New Roman" w:hAnsi="Times New Roman" w:cs="Times New Roman"/>
          <w:sz w:val="24"/>
          <w:szCs w:val="24"/>
        </w:rPr>
        <w:t>67</w:t>
      </w:r>
      <w:r w:rsidR="007A58BF" w:rsidRPr="00CE440F">
        <w:rPr>
          <w:rFonts w:ascii="Times New Roman" w:eastAsia="Times New Roman" w:hAnsi="Times New Roman" w:cs="Times New Roman"/>
          <w:sz w:val="24"/>
          <w:szCs w:val="24"/>
        </w:rPr>
        <w:t>1</w:t>
      </w:r>
      <w:r w:rsidR="006D1CA6" w:rsidRPr="00CE440F">
        <w:rPr>
          <w:rFonts w:ascii="Times New Roman" w:eastAsia="Times New Roman" w:hAnsi="Times New Roman" w:cs="Times New Roman"/>
          <w:sz w:val="24"/>
          <w:szCs w:val="24"/>
        </w:rPr>
        <w:t> </w:t>
      </w:r>
      <w:r w:rsidR="007A58BF" w:rsidRPr="00CE440F">
        <w:rPr>
          <w:rFonts w:ascii="Times New Roman" w:eastAsia="Times New Roman" w:hAnsi="Times New Roman" w:cs="Times New Roman"/>
          <w:sz w:val="24"/>
          <w:szCs w:val="24"/>
        </w:rPr>
        <w:t>0</w:t>
      </w:r>
      <w:r w:rsidR="0024313E" w:rsidRPr="00CE440F">
        <w:rPr>
          <w:rFonts w:ascii="Times New Roman" w:eastAsia="Times New Roman" w:hAnsi="Times New Roman" w:cs="Times New Roman"/>
          <w:sz w:val="24"/>
          <w:szCs w:val="24"/>
        </w:rPr>
        <w:t>00</w:t>
      </w:r>
      <w:r w:rsidR="006D1CA6"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хил. лв. в.т.ч. лекарствени продукти, назначени с протокол, за които се извърша експертиза – </w:t>
      </w:r>
      <w:r w:rsidR="00470612" w:rsidRPr="00CE440F">
        <w:rPr>
          <w:rFonts w:ascii="Times New Roman" w:eastAsia="Times New Roman" w:hAnsi="Times New Roman" w:cs="Times New Roman"/>
          <w:sz w:val="24"/>
          <w:szCs w:val="24"/>
        </w:rPr>
        <w:t>34</w:t>
      </w:r>
      <w:r w:rsidR="007A58BF" w:rsidRPr="00CE440F">
        <w:rPr>
          <w:rFonts w:ascii="Times New Roman" w:eastAsia="Times New Roman" w:hAnsi="Times New Roman" w:cs="Times New Roman"/>
          <w:sz w:val="24"/>
          <w:szCs w:val="24"/>
        </w:rPr>
        <w:t>8</w:t>
      </w:r>
      <w:r w:rsidR="006D1CA6" w:rsidRPr="00CE440F">
        <w:rPr>
          <w:rFonts w:ascii="Times New Roman" w:eastAsia="Times New Roman" w:hAnsi="Times New Roman" w:cs="Times New Roman"/>
          <w:sz w:val="24"/>
          <w:szCs w:val="24"/>
        </w:rPr>
        <w:t xml:space="preserve"> </w:t>
      </w:r>
      <w:r w:rsidR="002F4E81" w:rsidRPr="00CE440F">
        <w:rPr>
          <w:rFonts w:ascii="Times New Roman" w:eastAsia="Times New Roman" w:hAnsi="Times New Roman" w:cs="Times New Roman"/>
          <w:sz w:val="24"/>
          <w:szCs w:val="24"/>
        </w:rPr>
        <w:t>5</w:t>
      </w:r>
      <w:r w:rsidR="006D1CA6" w:rsidRPr="00CE440F">
        <w:rPr>
          <w:rFonts w:ascii="Times New Roman" w:eastAsia="Times New Roman" w:hAnsi="Times New Roman" w:cs="Times New Roman"/>
          <w:sz w:val="24"/>
          <w:szCs w:val="24"/>
        </w:rPr>
        <w:t>00</w:t>
      </w:r>
      <w:r w:rsidRPr="00CE440F">
        <w:rPr>
          <w:rFonts w:ascii="Times New Roman" w:eastAsia="Times New Roman" w:hAnsi="Times New Roman" w:cs="Times New Roman"/>
          <w:sz w:val="24"/>
          <w:szCs w:val="24"/>
        </w:rPr>
        <w:t xml:space="preserve"> хил. лв.;</w:t>
      </w:r>
    </w:p>
    <w:p w:rsidR="00CC062A" w:rsidRPr="00CE440F" w:rsidRDefault="00CC062A" w:rsidP="00382549">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3.2. </w:t>
      </w:r>
      <w:r w:rsidR="00470612" w:rsidRPr="00CE440F">
        <w:rPr>
          <w:rFonts w:ascii="Times New Roman" w:eastAsia="Times New Roman" w:hAnsi="Times New Roman" w:cs="Times New Roman"/>
          <w:sz w:val="24"/>
          <w:szCs w:val="24"/>
        </w:rPr>
        <w:t>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включени в пакета здравни дейности, гарантиран от бюджета на НЗОК и прилагани в условията на болнична медицинска помощ, които НЗОК заплаща извън стойността на оказваните медицински услуги, с изключение на попадащите в групата на лекарствените продукти по ред 1.1.3.5.3</w:t>
      </w:r>
      <w:r w:rsidR="00382549" w:rsidRPr="00CE440F">
        <w:rPr>
          <w:rFonts w:ascii="Times New Roman" w:eastAsia="Times New Roman" w:hAnsi="Times New Roman" w:cs="Times New Roman"/>
          <w:sz w:val="24"/>
          <w:szCs w:val="24"/>
        </w:rPr>
        <w:t xml:space="preserve"> </w:t>
      </w:r>
      <w:r w:rsidR="00DB487A" w:rsidRPr="00CE440F">
        <w:rPr>
          <w:rFonts w:ascii="Times New Roman" w:eastAsia="Times New Roman" w:hAnsi="Times New Roman" w:cs="Times New Roman"/>
          <w:sz w:val="24"/>
          <w:szCs w:val="24"/>
        </w:rPr>
        <w:t xml:space="preserve">– </w:t>
      </w:r>
      <w:r w:rsidR="00382549" w:rsidRPr="00CE440F">
        <w:rPr>
          <w:rFonts w:ascii="Times New Roman" w:eastAsia="Times New Roman" w:hAnsi="Times New Roman" w:cs="Times New Roman"/>
          <w:sz w:val="24"/>
          <w:szCs w:val="24"/>
        </w:rPr>
        <w:t>17</w:t>
      </w:r>
      <w:r w:rsidR="007A58BF" w:rsidRPr="00CE440F">
        <w:rPr>
          <w:rFonts w:ascii="Times New Roman" w:eastAsia="Times New Roman" w:hAnsi="Times New Roman" w:cs="Times New Roman"/>
          <w:sz w:val="24"/>
          <w:szCs w:val="24"/>
        </w:rPr>
        <w:t>1</w:t>
      </w:r>
      <w:r w:rsidR="00382549" w:rsidRPr="00CE440F">
        <w:rPr>
          <w:rFonts w:ascii="Times New Roman" w:eastAsia="Times New Roman" w:hAnsi="Times New Roman" w:cs="Times New Roman"/>
          <w:sz w:val="24"/>
          <w:szCs w:val="24"/>
        </w:rPr>
        <w:t xml:space="preserve"> </w:t>
      </w:r>
      <w:r w:rsidR="007A58BF" w:rsidRPr="00CE440F">
        <w:rPr>
          <w:rFonts w:ascii="Times New Roman" w:eastAsia="Times New Roman" w:hAnsi="Times New Roman" w:cs="Times New Roman"/>
          <w:sz w:val="24"/>
          <w:szCs w:val="24"/>
        </w:rPr>
        <w:t>0</w:t>
      </w:r>
      <w:r w:rsidR="0024313E" w:rsidRPr="00CE440F">
        <w:rPr>
          <w:rFonts w:ascii="Times New Roman" w:eastAsia="Times New Roman" w:hAnsi="Times New Roman" w:cs="Times New Roman"/>
          <w:sz w:val="24"/>
          <w:szCs w:val="24"/>
        </w:rPr>
        <w:t>00</w:t>
      </w:r>
      <w:r w:rsidRPr="00CE440F">
        <w:rPr>
          <w:rFonts w:ascii="Times New Roman" w:eastAsia="Times New Roman" w:hAnsi="Times New Roman" w:cs="Times New Roman"/>
          <w:sz w:val="24"/>
          <w:szCs w:val="24"/>
        </w:rPr>
        <w:t xml:space="preserve"> хил. лв.;</w:t>
      </w:r>
    </w:p>
    <w:p w:rsidR="00306BA3" w:rsidRPr="00CE440F" w:rsidRDefault="007A58BF" w:rsidP="00306BA3">
      <w:pPr>
        <w:spacing w:after="0" w:line="240" w:lineRule="auto"/>
        <w:ind w:firstLine="709"/>
        <w:jc w:val="both"/>
        <w:rPr>
          <w:rFonts w:ascii="Times New Roman" w:eastAsia="Times New Roman" w:hAnsi="Times New Roman" w:cs="Times New Roman"/>
          <w:b/>
          <w:bCs/>
          <w:sz w:val="20"/>
          <w:szCs w:val="20"/>
        </w:rPr>
      </w:pPr>
      <w:r w:rsidRPr="00CE440F">
        <w:rPr>
          <w:rFonts w:ascii="Times New Roman" w:eastAsia="Times New Roman" w:hAnsi="Times New Roman" w:cs="Times New Roman"/>
          <w:sz w:val="24"/>
          <w:szCs w:val="24"/>
        </w:rPr>
        <w:t>3.3.</w:t>
      </w:r>
      <w:r w:rsidR="00306BA3" w:rsidRPr="00CE440F">
        <w:rPr>
          <w:rFonts w:ascii="Times New Roman" w:eastAsia="Times New Roman" w:hAnsi="Times New Roman" w:cs="Times New Roman"/>
          <w:sz w:val="24"/>
          <w:szCs w:val="24"/>
        </w:rPr>
        <w:t xml:space="preserve"> </w:t>
      </w:r>
      <w:r w:rsidR="00382549" w:rsidRPr="00CE440F">
        <w:rPr>
          <w:rFonts w:ascii="Times New Roman" w:eastAsia="Times New Roman" w:hAnsi="Times New Roman" w:cs="Times New Roman"/>
          <w:sz w:val="24"/>
          <w:szCs w:val="24"/>
        </w:rPr>
        <w:t xml:space="preserve">лекарствени продукти с годишен разход за терапия на задължително осигурено лице равен или по-висок от прага на ефективност на разходите /3 пъти брутния вътрешен продукт на човек от населението/ </w:t>
      </w:r>
      <w:r w:rsidR="00306BA3" w:rsidRPr="00CE440F">
        <w:rPr>
          <w:rFonts w:ascii="Times New Roman" w:eastAsia="Times New Roman" w:hAnsi="Times New Roman" w:cs="Times New Roman"/>
          <w:sz w:val="24"/>
          <w:szCs w:val="24"/>
        </w:rPr>
        <w:t xml:space="preserve">– </w:t>
      </w:r>
      <w:r w:rsidR="003C285E" w:rsidRPr="00CE440F">
        <w:rPr>
          <w:rFonts w:ascii="Times New Roman" w:eastAsia="Times New Roman" w:hAnsi="Times New Roman" w:cs="Times New Roman"/>
          <w:sz w:val="24"/>
          <w:szCs w:val="24"/>
        </w:rPr>
        <w:t>49</w:t>
      </w:r>
      <w:r w:rsidRPr="00CE440F">
        <w:rPr>
          <w:rFonts w:ascii="Times New Roman" w:eastAsia="Times New Roman" w:hAnsi="Times New Roman" w:cs="Times New Roman"/>
          <w:sz w:val="24"/>
          <w:szCs w:val="24"/>
        </w:rPr>
        <w:t>0</w:t>
      </w:r>
      <w:r w:rsidR="003C285E"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00</w:t>
      </w:r>
      <w:r w:rsidR="003C285E" w:rsidRPr="00CE440F">
        <w:rPr>
          <w:rFonts w:ascii="Times New Roman" w:eastAsia="Times New Roman" w:hAnsi="Times New Roman" w:cs="Times New Roman"/>
          <w:sz w:val="24"/>
          <w:szCs w:val="24"/>
        </w:rPr>
        <w:t>0</w:t>
      </w:r>
      <w:r w:rsidR="00306BA3" w:rsidRPr="00CE440F">
        <w:rPr>
          <w:rFonts w:ascii="Times New Roman" w:eastAsia="Times New Roman" w:hAnsi="Times New Roman" w:cs="Times New Roman"/>
          <w:sz w:val="24"/>
          <w:szCs w:val="24"/>
        </w:rPr>
        <w:t xml:space="preserve"> хил. лв.;</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3.</w:t>
      </w:r>
      <w:r w:rsidR="00E63A55" w:rsidRPr="00CE440F">
        <w:rPr>
          <w:rFonts w:ascii="Times New Roman" w:eastAsia="Times New Roman" w:hAnsi="Times New Roman" w:cs="Times New Roman"/>
          <w:sz w:val="24"/>
          <w:szCs w:val="24"/>
        </w:rPr>
        <w:t>4</w:t>
      </w:r>
      <w:r w:rsidRPr="00CE440F">
        <w:rPr>
          <w:rFonts w:ascii="Times New Roman" w:eastAsia="Times New Roman" w:hAnsi="Times New Roman" w:cs="Times New Roman"/>
          <w:sz w:val="24"/>
          <w:szCs w:val="24"/>
        </w:rPr>
        <w:t xml:space="preserve">. </w:t>
      </w:r>
      <w:r w:rsidR="004D74C7" w:rsidRPr="00CE440F">
        <w:rPr>
          <w:rFonts w:ascii="Times New Roman" w:eastAsia="Times New Roman" w:hAnsi="Times New Roman" w:cs="Times New Roman"/>
          <w:sz w:val="24"/>
          <w:szCs w:val="24"/>
        </w:rPr>
        <w:t xml:space="preserve">за </w:t>
      </w:r>
      <w:r w:rsidRPr="00CE440F">
        <w:rPr>
          <w:rFonts w:ascii="Times New Roman" w:eastAsia="Times New Roman" w:hAnsi="Times New Roman" w:cs="Times New Roman"/>
          <w:sz w:val="24"/>
          <w:szCs w:val="24"/>
        </w:rPr>
        <w:t xml:space="preserve">медицински изделия, прилагани в болничната медицинска помощ – </w:t>
      </w:r>
      <w:r w:rsidR="00DB487A" w:rsidRPr="00CE440F">
        <w:rPr>
          <w:rFonts w:ascii="Times New Roman" w:eastAsia="Times New Roman" w:hAnsi="Times New Roman" w:cs="Times New Roman"/>
          <w:sz w:val="24"/>
          <w:szCs w:val="24"/>
        </w:rPr>
        <w:t>11</w:t>
      </w:r>
      <w:r w:rsidR="007A58BF" w:rsidRPr="00CE440F">
        <w:rPr>
          <w:rFonts w:ascii="Times New Roman" w:eastAsia="Times New Roman" w:hAnsi="Times New Roman" w:cs="Times New Roman"/>
          <w:sz w:val="24"/>
          <w:szCs w:val="24"/>
        </w:rPr>
        <w:t>5</w:t>
      </w:r>
      <w:r w:rsidR="00382549" w:rsidRPr="00CE440F">
        <w:rPr>
          <w:rFonts w:ascii="Times New Roman" w:eastAsia="Times New Roman" w:hAnsi="Times New Roman" w:cs="Times New Roman"/>
          <w:sz w:val="24"/>
          <w:szCs w:val="24"/>
        </w:rPr>
        <w:t> </w:t>
      </w:r>
      <w:r w:rsidR="007A58BF" w:rsidRPr="00CE440F">
        <w:rPr>
          <w:rFonts w:ascii="Times New Roman" w:eastAsia="Times New Roman" w:hAnsi="Times New Roman" w:cs="Times New Roman"/>
          <w:sz w:val="24"/>
          <w:szCs w:val="24"/>
        </w:rPr>
        <w:t>982</w:t>
      </w:r>
      <w:r w:rsidR="00DB487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хил. лв.</w:t>
      </w:r>
    </w:p>
    <w:p w:rsidR="00885DE3"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4. </w:t>
      </w:r>
      <w:r w:rsidR="004D74C7" w:rsidRPr="00CE440F">
        <w:rPr>
          <w:rFonts w:ascii="Times New Roman" w:eastAsia="Times New Roman" w:hAnsi="Times New Roman" w:cs="Times New Roman"/>
          <w:sz w:val="24"/>
          <w:szCs w:val="24"/>
        </w:rPr>
        <w:t>за д</w:t>
      </w:r>
      <w:r w:rsidR="004047AB" w:rsidRPr="00CE440F">
        <w:rPr>
          <w:rFonts w:ascii="Times New Roman" w:eastAsia="Times New Roman" w:hAnsi="Times New Roman" w:cs="Times New Roman"/>
          <w:sz w:val="24"/>
          <w:szCs w:val="24"/>
        </w:rPr>
        <w:t>руги</w:t>
      </w:r>
      <w:r w:rsidRPr="00CE440F">
        <w:rPr>
          <w:rFonts w:ascii="Times New Roman" w:eastAsia="Times New Roman" w:hAnsi="Times New Roman" w:cs="Times New Roman"/>
          <w:sz w:val="24"/>
          <w:szCs w:val="24"/>
        </w:rPr>
        <w:t xml:space="preserve"> здравноосигурителни плащания за медицинска помощ, оказана в съответствие с правилата за координация на системите за социална сигурност по проекта за 20</w:t>
      </w:r>
      <w:r w:rsidR="00272193" w:rsidRPr="00CE440F">
        <w:rPr>
          <w:rFonts w:ascii="Times New Roman" w:eastAsia="Times New Roman" w:hAnsi="Times New Roman" w:cs="Times New Roman"/>
          <w:sz w:val="24"/>
          <w:szCs w:val="24"/>
        </w:rPr>
        <w:t>2</w:t>
      </w:r>
      <w:r w:rsidR="00DB487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разчетени </w:t>
      </w:r>
      <w:r w:rsidR="00DB487A" w:rsidRPr="00CE440F">
        <w:rPr>
          <w:rFonts w:ascii="Times New Roman" w:eastAsia="Times New Roman" w:hAnsi="Times New Roman" w:cs="Times New Roman"/>
          <w:sz w:val="24"/>
          <w:szCs w:val="24"/>
        </w:rPr>
        <w:t>85 000</w:t>
      </w:r>
      <w:r w:rsidRPr="00CE440F">
        <w:rPr>
          <w:rFonts w:ascii="Times New Roman" w:eastAsia="Times New Roman" w:hAnsi="Times New Roman" w:cs="Times New Roman"/>
          <w:sz w:val="24"/>
          <w:szCs w:val="24"/>
        </w:rPr>
        <w:t> хил. лв</w:t>
      </w:r>
      <w:r w:rsidR="00885DE3" w:rsidRPr="00CE440F">
        <w:rPr>
          <w:rFonts w:ascii="Times New Roman" w:eastAsia="Times New Roman" w:hAnsi="Times New Roman" w:cs="Times New Roman"/>
          <w:sz w:val="24"/>
          <w:szCs w:val="24"/>
        </w:rPr>
        <w:t>.</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С проекта се предвижда и през 20</w:t>
      </w:r>
      <w:r w:rsidR="00272193" w:rsidRPr="00CE440F">
        <w:rPr>
          <w:rFonts w:ascii="Times New Roman" w:eastAsia="Times New Roman" w:hAnsi="Times New Roman" w:cs="Times New Roman"/>
          <w:sz w:val="24"/>
          <w:szCs w:val="24"/>
        </w:rPr>
        <w:t>2</w:t>
      </w:r>
      <w:r w:rsidR="00DB487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да се извършват плащания по дейности, финансирани от Министерството на здравеопазването, Агенцията за социално подпомагане и по реда на системите за координация за социална сигурност. </w:t>
      </w: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lastRenderedPageBreak/>
        <w:t>Проектът на ЗБНЗОК за 20</w:t>
      </w:r>
      <w:r w:rsidR="00272193" w:rsidRPr="00CE440F">
        <w:rPr>
          <w:rFonts w:ascii="Times New Roman" w:eastAsia="Times New Roman" w:hAnsi="Times New Roman" w:cs="Times New Roman"/>
          <w:b/>
          <w:sz w:val="24"/>
          <w:szCs w:val="24"/>
        </w:rPr>
        <w:t>2</w:t>
      </w:r>
      <w:r w:rsidR="00DB487A" w:rsidRPr="00CE440F">
        <w:rPr>
          <w:rFonts w:ascii="Times New Roman" w:eastAsia="Times New Roman" w:hAnsi="Times New Roman" w:cs="Times New Roman"/>
          <w:b/>
          <w:sz w:val="24"/>
          <w:szCs w:val="24"/>
        </w:rPr>
        <w:t>1</w:t>
      </w:r>
      <w:r w:rsidRPr="00CE440F">
        <w:rPr>
          <w:rFonts w:ascii="Times New Roman" w:eastAsia="Times New Roman" w:hAnsi="Times New Roman" w:cs="Times New Roman"/>
          <w:b/>
          <w:sz w:val="24"/>
          <w:szCs w:val="24"/>
        </w:rPr>
        <w:t xml:space="preserve"> г. е съобразен с нормативната уредба, очертаваща приоритетите и политиките в сферата на здравеопазването и задължителното здравно осигуряване. </w:t>
      </w:r>
      <w:r w:rsidR="00DB487A" w:rsidRPr="00CE440F">
        <w:rPr>
          <w:rFonts w:ascii="Times New Roman" w:eastAsia="Times New Roman" w:hAnsi="Times New Roman" w:cs="Times New Roman"/>
          <w:b/>
          <w:sz w:val="24"/>
          <w:szCs w:val="24"/>
        </w:rPr>
        <w:t>Заложените параметри създават стабилна финансова рамка за процеса по преговорите по Национален рамков договор за 2021 година.</w:t>
      </w:r>
    </w:p>
    <w:p w:rsidR="005514A0" w:rsidRPr="00CE440F" w:rsidRDefault="005514A0" w:rsidP="00DC1E52">
      <w:pPr>
        <w:spacing w:before="60" w:after="0" w:line="300" w:lineRule="atLeast"/>
        <w:ind w:firstLine="709"/>
        <w:jc w:val="both"/>
        <w:rPr>
          <w:rFonts w:ascii="Times New Roman" w:eastAsia="Times New Roman" w:hAnsi="Times New Roman" w:cs="Times New Roman"/>
          <w:b/>
          <w:sz w:val="24"/>
          <w:szCs w:val="24"/>
        </w:rPr>
      </w:pPr>
    </w:p>
    <w:p w:rsidR="00CC062A" w:rsidRPr="00CE440F" w:rsidRDefault="00CC062A" w:rsidP="00DC1E52">
      <w:pPr>
        <w:keepNext/>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По отделните направления на здравноосигурителните плащания предвидените в законопроекта средства осигуряват:</w:t>
      </w:r>
    </w:p>
    <w:p w:rsidR="00CC062A" w:rsidRPr="00CE440F" w:rsidRDefault="00CC062A" w:rsidP="00DC1E52">
      <w:pPr>
        <w:spacing w:before="60" w:after="0" w:line="300" w:lineRule="atLeast"/>
        <w:ind w:firstLine="567"/>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А. В областта на първичната извънболнична медицинска помощ (ПИМП)</w:t>
      </w:r>
    </w:p>
    <w:p w:rsidR="00202302"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 Със средствата е предвидено да се обезпечи и гарантира заплащането на здравни дейности за първична извънболнична медицинска помощ по пакета по чл.2, ал.1 от ЗЗО и гарантиране оказването на първична медицинска помощ за всички здравноосигурени лица,</w:t>
      </w:r>
      <w:r w:rsidR="00202302" w:rsidRPr="00CE440F">
        <w:rPr>
          <w:rFonts w:ascii="Times New Roman" w:eastAsia="Times New Roman" w:hAnsi="Times New Roman" w:cs="Times New Roman"/>
          <w:sz w:val="24"/>
          <w:szCs w:val="24"/>
        </w:rPr>
        <w:t xml:space="preserve"> направили избор на личен лекар.</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 2. Гарантиране обема дейности по програма „Детско здравеопазване“, а именно: ежемесечни профилактични прегледи за децата от 0 до 1-годишна възраст (или 14 прегледа годишно на едно дете в тази възрастова група); за децата от 1 до 2-годишна възраст – 4 прегледа годишно; за децата от 2 до 7-годишна възраст – 2 прегледа годишно; за децата от 7 до 18-годишна възраст – 1 преглед годишно и извършване на имунизациите на всяко дете от 0 да 18-годишна възраст, съгласно календара за задължителните имунизации и реимунизации.</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По проекта за 202</w:t>
      </w:r>
      <w:r w:rsidR="00C346A0"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г. е разчетено закупуване на общ брой от 3 млн. дейности по пр</w:t>
      </w:r>
      <w:r w:rsidR="00202302" w:rsidRPr="00CE440F">
        <w:rPr>
          <w:rFonts w:ascii="Times New Roman" w:eastAsia="Times New Roman" w:hAnsi="Times New Roman" w:cs="Times New Roman"/>
          <w:sz w:val="24"/>
          <w:szCs w:val="24"/>
        </w:rPr>
        <w:t>ограма „Детско здравеопазване“.</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3. За осигуряване изпълнението на диспансерното наблюдение, съгласно пакета по чл.2, ал. 1 от ЗЗО, са предвидени</w:t>
      </w:r>
      <w:r w:rsidR="00202302" w:rsidRPr="00CE440F">
        <w:rPr>
          <w:rFonts w:ascii="Times New Roman" w:eastAsia="Times New Roman" w:hAnsi="Times New Roman" w:cs="Times New Roman"/>
          <w:sz w:val="24"/>
          <w:szCs w:val="24"/>
        </w:rPr>
        <w:t xml:space="preserve"> 4,</w:t>
      </w:r>
      <w:r w:rsidR="00C346A0" w:rsidRPr="00CE440F">
        <w:rPr>
          <w:rFonts w:ascii="Times New Roman" w:eastAsia="Times New Roman" w:hAnsi="Times New Roman" w:cs="Times New Roman"/>
          <w:sz w:val="24"/>
          <w:szCs w:val="24"/>
        </w:rPr>
        <w:t>7</w:t>
      </w:r>
      <w:r w:rsidR="00202302" w:rsidRPr="00CE440F">
        <w:rPr>
          <w:rFonts w:ascii="Times New Roman" w:eastAsia="Times New Roman" w:hAnsi="Times New Roman" w:cs="Times New Roman"/>
          <w:sz w:val="24"/>
          <w:szCs w:val="24"/>
        </w:rPr>
        <w:t xml:space="preserve"> млн. диспансерни прегледи </w:t>
      </w:r>
      <w:r w:rsidRPr="00CE440F">
        <w:rPr>
          <w:rFonts w:ascii="Times New Roman" w:eastAsia="Times New Roman" w:hAnsi="Times New Roman" w:cs="Times New Roman"/>
          <w:sz w:val="24"/>
          <w:szCs w:val="24"/>
        </w:rPr>
        <w:t>и диференцираното заплащане за извършените:</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прегледи по диспансерно наблюдение на ЗОЛ с едно заболяване;</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прегледи по диспансерно наблюдение на ЗОЛ с две заболявания;</w:t>
      </w:r>
    </w:p>
    <w:p w:rsidR="00272193" w:rsidRPr="00CE440F" w:rsidRDefault="00272193"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прегледи по диспансерно наблюдение на ЗОЛ с повече от две заболявания.</w:t>
      </w:r>
    </w:p>
    <w:p w:rsidR="00272193" w:rsidRPr="00CE440F" w:rsidRDefault="00272193" w:rsidP="00DC1E52">
      <w:pPr>
        <w:spacing w:before="60" w:after="0" w:line="300" w:lineRule="atLeast"/>
        <w:ind w:firstLine="567"/>
        <w:jc w:val="both"/>
        <w:rPr>
          <w:rFonts w:ascii="Times New Roman" w:eastAsia="Times New Roman" w:hAnsi="Times New Roman" w:cs="Times New Roman"/>
          <w:strike/>
          <w:sz w:val="24"/>
          <w:szCs w:val="24"/>
        </w:rPr>
      </w:pPr>
      <w:r w:rsidRPr="00CE440F">
        <w:rPr>
          <w:rFonts w:ascii="Times New Roman" w:eastAsia="Times New Roman" w:hAnsi="Times New Roman" w:cs="Times New Roman"/>
          <w:sz w:val="24"/>
          <w:szCs w:val="24"/>
        </w:rPr>
        <w:t xml:space="preserve">4. </w:t>
      </w:r>
      <w:r w:rsidR="00CA01B0" w:rsidRPr="00CE440F">
        <w:rPr>
          <w:rFonts w:ascii="Times New Roman" w:eastAsia="Times New Roman" w:hAnsi="Times New Roman" w:cs="Times New Roman"/>
          <w:sz w:val="24"/>
          <w:szCs w:val="24"/>
          <w:lang w:eastAsia="bg-BG"/>
        </w:rPr>
        <w:t xml:space="preserve">Увеличаване на обхвата на ЗОЛ с профилактични прегледи и имунизации по Имунизационния календар, с цел ранно откриване и превенция на заболяванията; допълнително стимулиране на </w:t>
      </w:r>
      <w:r w:rsidR="00950D26" w:rsidRPr="00CE440F">
        <w:rPr>
          <w:rFonts w:ascii="Times New Roman" w:eastAsia="Times New Roman" w:hAnsi="Times New Roman" w:cs="Times New Roman"/>
          <w:sz w:val="24"/>
          <w:szCs w:val="24"/>
          <w:lang w:eastAsia="bg-BG"/>
        </w:rPr>
        <w:t>общопрактикуващите лекари</w:t>
      </w:r>
      <w:r w:rsidR="00012B07" w:rsidRPr="00CE440F">
        <w:rPr>
          <w:rFonts w:ascii="Times New Roman" w:eastAsia="Times New Roman" w:hAnsi="Times New Roman" w:cs="Times New Roman"/>
          <w:sz w:val="24"/>
          <w:szCs w:val="24"/>
          <w:lang w:eastAsia="bg-BG"/>
        </w:rPr>
        <w:t xml:space="preserve"> (ОПЛ)</w:t>
      </w:r>
      <w:r w:rsidR="00CA01B0" w:rsidRPr="00CE440F">
        <w:rPr>
          <w:rFonts w:ascii="Times New Roman" w:eastAsia="Times New Roman" w:hAnsi="Times New Roman" w:cs="Times New Roman"/>
          <w:sz w:val="24"/>
          <w:szCs w:val="24"/>
          <w:lang w:eastAsia="bg-BG"/>
        </w:rPr>
        <w:t xml:space="preserve"> на база система от критерии и индикатори за качество на оказаната медицинска помощ.</w:t>
      </w:r>
      <w:r w:rsidRPr="00CE440F">
        <w:rPr>
          <w:rFonts w:ascii="Times New Roman" w:eastAsia="Times New Roman" w:hAnsi="Times New Roman" w:cs="Times New Roman"/>
          <w:strike/>
          <w:sz w:val="24"/>
          <w:szCs w:val="24"/>
        </w:rPr>
        <w:t xml:space="preserve"> </w:t>
      </w:r>
    </w:p>
    <w:p w:rsidR="00CC062A" w:rsidRPr="00CE440F" w:rsidRDefault="00CC062A" w:rsidP="00DC1E52">
      <w:pPr>
        <w:spacing w:before="60" w:after="0" w:line="300" w:lineRule="atLeast"/>
        <w:ind w:firstLine="567"/>
        <w:jc w:val="both"/>
        <w:rPr>
          <w:rFonts w:ascii="Times New Roman" w:eastAsia="Times New Roman" w:hAnsi="Times New Roman" w:cs="Times New Roman"/>
          <w:b/>
          <w:sz w:val="24"/>
          <w:szCs w:val="24"/>
        </w:rPr>
      </w:pPr>
      <w:r w:rsidRPr="00CE440F">
        <w:rPr>
          <w:rFonts w:ascii="Times New Roman" w:eastAsia="Times New Roman" w:hAnsi="Times New Roman" w:cs="Times New Roman"/>
          <w:sz w:val="24"/>
          <w:szCs w:val="24"/>
        </w:rPr>
        <w:t xml:space="preserve">В тази връзка средствата в законопроекта се залагат в размер на </w:t>
      </w:r>
      <w:r w:rsidR="00C346A0" w:rsidRPr="00CE440F">
        <w:rPr>
          <w:rFonts w:ascii="Times New Roman" w:eastAsia="Times New Roman" w:hAnsi="Times New Roman" w:cs="Times New Roman"/>
          <w:sz w:val="24"/>
          <w:szCs w:val="24"/>
        </w:rPr>
        <w:t>2</w:t>
      </w:r>
      <w:r w:rsidR="007D78FD" w:rsidRPr="00CE440F">
        <w:rPr>
          <w:rFonts w:ascii="Times New Roman" w:eastAsia="Times New Roman" w:hAnsi="Times New Roman" w:cs="Times New Roman"/>
          <w:sz w:val="24"/>
          <w:szCs w:val="24"/>
        </w:rPr>
        <w:t>61</w:t>
      </w:r>
      <w:r w:rsidR="00C346A0" w:rsidRPr="00CE440F">
        <w:rPr>
          <w:rFonts w:ascii="Times New Roman" w:eastAsia="Times New Roman" w:hAnsi="Times New Roman" w:cs="Times New Roman"/>
          <w:sz w:val="24"/>
          <w:szCs w:val="24"/>
        </w:rPr>
        <w:t> </w:t>
      </w:r>
      <w:r w:rsidR="007D78FD" w:rsidRPr="00CE440F">
        <w:rPr>
          <w:rFonts w:ascii="Times New Roman" w:eastAsia="Times New Roman" w:hAnsi="Times New Roman" w:cs="Times New Roman"/>
          <w:sz w:val="24"/>
          <w:szCs w:val="24"/>
        </w:rPr>
        <w:t>080</w:t>
      </w:r>
      <w:r w:rsidR="00C346A0" w:rsidRPr="00CE440F">
        <w:rPr>
          <w:rFonts w:ascii="Times New Roman" w:eastAsia="Times New Roman" w:hAnsi="Times New Roman" w:cs="Times New Roman"/>
          <w:sz w:val="24"/>
          <w:szCs w:val="24"/>
        </w:rPr>
        <w:t xml:space="preserve"> хил</w:t>
      </w:r>
      <w:r w:rsidRPr="00CE440F">
        <w:rPr>
          <w:rFonts w:ascii="Times New Roman" w:eastAsia="Times New Roman" w:hAnsi="Times New Roman" w:cs="Times New Roman"/>
          <w:sz w:val="24"/>
          <w:szCs w:val="24"/>
        </w:rPr>
        <w:t xml:space="preserve">. лв. </w:t>
      </w:r>
    </w:p>
    <w:p w:rsidR="00773D29" w:rsidRPr="00CE440F" w:rsidRDefault="00773D29" w:rsidP="005D2F1F">
      <w:pPr>
        <w:spacing w:before="60" w:after="0" w:line="300" w:lineRule="atLeast"/>
        <w:jc w:val="both"/>
        <w:rPr>
          <w:rFonts w:ascii="Times New Roman" w:eastAsia="Times New Roman" w:hAnsi="Times New Roman" w:cs="Times New Roman"/>
          <w:b/>
          <w:sz w:val="24"/>
          <w:szCs w:val="24"/>
        </w:rPr>
      </w:pPr>
    </w:p>
    <w:p w:rsidR="00CC062A" w:rsidRPr="00CE440F" w:rsidRDefault="00CC062A" w:rsidP="00DC1E52">
      <w:pPr>
        <w:spacing w:before="60" w:after="0" w:line="300" w:lineRule="atLeast"/>
        <w:ind w:firstLine="567"/>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Б. В областта на специализираната извънболнична медицинска помощ (СИМП)</w:t>
      </w:r>
      <w:r w:rsidR="003930B2" w:rsidRPr="00CE440F">
        <w:rPr>
          <w:rFonts w:ascii="Times New Roman" w:eastAsia="Times New Roman" w:hAnsi="Times New Roman" w:cs="Times New Roman"/>
          <w:b/>
          <w:sz w:val="24"/>
          <w:szCs w:val="24"/>
        </w:rPr>
        <w:t xml:space="preserve"> и здравни грижи</w:t>
      </w:r>
    </w:p>
    <w:p w:rsidR="00202302" w:rsidRPr="00CE440F" w:rsidRDefault="00202302" w:rsidP="00DC1E5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 По проекта за 202</w:t>
      </w:r>
      <w:r w:rsidR="00306BA3"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е разчетен общ брой от 21</w:t>
      </w:r>
      <w:r w:rsidR="00306BA3" w:rsidRPr="00CE440F">
        <w:rPr>
          <w:rFonts w:ascii="Times New Roman" w:eastAsia="Times New Roman" w:hAnsi="Times New Roman" w:cs="Times New Roman"/>
          <w:sz w:val="24"/>
          <w:szCs w:val="24"/>
        </w:rPr>
        <w:t>,0</w:t>
      </w:r>
      <w:r w:rsidRPr="00CE440F">
        <w:rPr>
          <w:rFonts w:ascii="Times New Roman" w:eastAsia="Times New Roman" w:hAnsi="Times New Roman" w:cs="Times New Roman"/>
          <w:sz w:val="24"/>
          <w:szCs w:val="24"/>
        </w:rPr>
        <w:t xml:space="preserve"> млн. специализирани дейности специализирана извънболнична медицинска помощ, съгласно пакета по чл.2, ал.1 от ЗЗО, в т.ч.: </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w:t>
      </w:r>
      <w:r w:rsidRPr="00CE440F">
        <w:rPr>
          <w:rFonts w:ascii="Times New Roman" w:eastAsia="Times New Roman" w:hAnsi="Times New Roman" w:cs="Times New Roman"/>
          <w:sz w:val="24"/>
          <w:szCs w:val="24"/>
        </w:rPr>
        <w:tab/>
        <w:t>по повод насочване на ЗОЛ към извънболнична специализирана помощ – 7,</w:t>
      </w:r>
      <w:r w:rsidR="00306BA3" w:rsidRPr="00CE440F">
        <w:rPr>
          <w:rFonts w:ascii="Times New Roman" w:eastAsia="Times New Roman" w:hAnsi="Times New Roman" w:cs="Times New Roman"/>
          <w:sz w:val="24"/>
          <w:szCs w:val="24"/>
        </w:rPr>
        <w:t>1</w:t>
      </w:r>
      <w:r w:rsidR="00FC12A0"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млн. първични прегледи; </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lastRenderedPageBreak/>
        <w:t>1.2.</w:t>
      </w:r>
      <w:r w:rsidRPr="00CE440F">
        <w:rPr>
          <w:rFonts w:ascii="Times New Roman" w:eastAsia="Times New Roman" w:hAnsi="Times New Roman" w:cs="Times New Roman"/>
          <w:sz w:val="24"/>
          <w:szCs w:val="24"/>
        </w:rPr>
        <w:tab/>
        <w:t>по повод насочване на ЗОЛ към извънболнична специализирана помощ -3,2</w:t>
      </w:r>
      <w:r w:rsidR="00FC12A0"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млн. вторични </w:t>
      </w:r>
      <w:r w:rsidR="00FC12A0" w:rsidRPr="00CE440F">
        <w:rPr>
          <w:rFonts w:ascii="Times New Roman" w:eastAsia="Times New Roman" w:hAnsi="Times New Roman" w:cs="Times New Roman"/>
          <w:sz w:val="24"/>
          <w:szCs w:val="24"/>
        </w:rPr>
        <w:t>прегледи</w:t>
      </w:r>
      <w:r w:rsidRPr="00CE440F">
        <w:rPr>
          <w:rFonts w:ascii="Times New Roman" w:eastAsia="Times New Roman" w:hAnsi="Times New Roman" w:cs="Times New Roman"/>
          <w:sz w:val="24"/>
          <w:szCs w:val="24"/>
        </w:rPr>
        <w:t xml:space="preserve">; </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1.3.</w:t>
      </w:r>
      <w:r w:rsidRPr="00CE440F">
        <w:rPr>
          <w:rFonts w:ascii="Times New Roman" w:eastAsia="Times New Roman" w:hAnsi="Times New Roman" w:cs="Times New Roman"/>
          <w:sz w:val="24"/>
          <w:szCs w:val="24"/>
        </w:rPr>
        <w:tab/>
        <w:t>за диспансерно наблюдение, прегледи по програма „Майчино здравеопазване“ и др. - 1,</w:t>
      </w:r>
      <w:r w:rsidR="00097974" w:rsidRPr="00CE440F">
        <w:rPr>
          <w:rFonts w:ascii="Times New Roman" w:eastAsia="Times New Roman" w:hAnsi="Times New Roman" w:cs="Times New Roman"/>
          <w:sz w:val="24"/>
          <w:szCs w:val="24"/>
        </w:rPr>
        <w:t xml:space="preserve">0 </w:t>
      </w:r>
      <w:r w:rsidRPr="00CE440F">
        <w:rPr>
          <w:rFonts w:ascii="Times New Roman" w:eastAsia="Times New Roman" w:hAnsi="Times New Roman" w:cs="Times New Roman"/>
          <w:sz w:val="24"/>
          <w:szCs w:val="24"/>
        </w:rPr>
        <w:t xml:space="preserve">млн. прегледа; </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1.4.</w:t>
      </w:r>
      <w:r w:rsidRPr="00CE440F">
        <w:rPr>
          <w:rFonts w:ascii="Times New Roman" w:eastAsia="Times New Roman" w:hAnsi="Times New Roman" w:cs="Times New Roman"/>
          <w:sz w:val="24"/>
          <w:szCs w:val="24"/>
        </w:rPr>
        <w:tab/>
        <w:t xml:space="preserve">за медицинска експертиза – 1,1 млн. прегледа; </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1.5.</w:t>
      </w:r>
      <w:r w:rsidRPr="00CE440F">
        <w:rPr>
          <w:rFonts w:ascii="Times New Roman" w:eastAsia="Times New Roman" w:hAnsi="Times New Roman" w:cs="Times New Roman"/>
          <w:sz w:val="24"/>
          <w:szCs w:val="24"/>
        </w:rPr>
        <w:tab/>
        <w:t>за високоспециализирани дейности (като ехокардиография, ЕЕГ, ЕМГ и др.) – 800 хил. дейности;</w:t>
      </w:r>
    </w:p>
    <w:p w:rsidR="00202302" w:rsidRPr="00CE440F" w:rsidRDefault="00202302" w:rsidP="00DC1E52">
      <w:pPr>
        <w:tabs>
          <w:tab w:val="left" w:pos="1134"/>
        </w:tabs>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1.6.</w:t>
      </w:r>
      <w:r w:rsidRPr="00CE440F">
        <w:rPr>
          <w:rFonts w:ascii="Times New Roman" w:eastAsia="Times New Roman" w:hAnsi="Times New Roman" w:cs="Times New Roman"/>
          <w:sz w:val="24"/>
          <w:szCs w:val="24"/>
        </w:rPr>
        <w:tab/>
        <w:t>за физиотерапия и рехабилитация – 7,</w:t>
      </w:r>
      <w:r w:rsidR="00306BA3" w:rsidRPr="00CE440F">
        <w:rPr>
          <w:rFonts w:ascii="Times New Roman" w:eastAsia="Times New Roman" w:hAnsi="Times New Roman" w:cs="Times New Roman"/>
          <w:sz w:val="24"/>
          <w:szCs w:val="24"/>
        </w:rPr>
        <w:t xml:space="preserve">8 </w:t>
      </w:r>
      <w:r w:rsidRPr="00CE440F">
        <w:rPr>
          <w:rFonts w:ascii="Times New Roman" w:eastAsia="Times New Roman" w:hAnsi="Times New Roman" w:cs="Times New Roman"/>
          <w:sz w:val="24"/>
          <w:szCs w:val="24"/>
        </w:rPr>
        <w:t>млн. дейности.</w:t>
      </w:r>
    </w:p>
    <w:p w:rsidR="003930B2" w:rsidRPr="00CE440F" w:rsidRDefault="00202302" w:rsidP="003930B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2. В средствата</w:t>
      </w:r>
      <w:r w:rsidRPr="00CE440F">
        <w:rPr>
          <w:rFonts w:ascii="Times New Roman" w:eastAsia="Times New Roman" w:hAnsi="Times New Roman" w:cs="Times New Roman"/>
          <w:b/>
          <w:sz w:val="24"/>
          <w:szCs w:val="24"/>
        </w:rPr>
        <w:t xml:space="preserve"> </w:t>
      </w:r>
      <w:r w:rsidRPr="00CE440F">
        <w:rPr>
          <w:rFonts w:ascii="Times New Roman" w:eastAsia="Times New Roman" w:hAnsi="Times New Roman" w:cs="Times New Roman"/>
          <w:sz w:val="24"/>
          <w:szCs w:val="24"/>
        </w:rPr>
        <w:t>за специализираната извънболнична медицинска помощ</w:t>
      </w:r>
      <w:r w:rsidR="00321A5A" w:rsidRPr="00CE440F">
        <w:rPr>
          <w:rFonts w:ascii="Times New Roman" w:eastAsia="Times New Roman" w:hAnsi="Times New Roman" w:cs="Times New Roman"/>
          <w:sz w:val="24"/>
          <w:szCs w:val="24"/>
          <w:lang w:val="en-US"/>
        </w:rPr>
        <w:t>(</w:t>
      </w:r>
      <w:r w:rsidR="00321A5A" w:rsidRPr="00CE440F">
        <w:rPr>
          <w:rFonts w:ascii="Times New Roman" w:eastAsia="Times New Roman" w:hAnsi="Times New Roman" w:cs="Times New Roman"/>
          <w:sz w:val="24"/>
          <w:szCs w:val="24"/>
        </w:rPr>
        <w:t>СИМП</w:t>
      </w:r>
      <w:r w:rsidR="00321A5A" w:rsidRPr="00CE440F">
        <w:rPr>
          <w:rFonts w:ascii="Times New Roman" w:eastAsia="Times New Roman" w:hAnsi="Times New Roman" w:cs="Times New Roman"/>
          <w:sz w:val="24"/>
          <w:szCs w:val="24"/>
          <w:lang w:val="en-US"/>
        </w:rPr>
        <w:t>)</w:t>
      </w:r>
      <w:r w:rsidRPr="00CE440F">
        <w:rPr>
          <w:rFonts w:ascii="Times New Roman" w:eastAsia="Times New Roman" w:hAnsi="Times New Roman" w:cs="Times New Roman"/>
          <w:sz w:val="24"/>
          <w:szCs w:val="24"/>
        </w:rPr>
        <w:t xml:space="preserve"> се предвижда</w:t>
      </w:r>
      <w:r w:rsidR="00321A5A" w:rsidRPr="00CE440F">
        <w:rPr>
          <w:rFonts w:ascii="Times New Roman" w:eastAsia="Times New Roman" w:hAnsi="Times New Roman" w:cs="Times New Roman"/>
          <w:sz w:val="24"/>
          <w:szCs w:val="24"/>
        </w:rPr>
        <w:t>т и средствата</w:t>
      </w:r>
      <w:r w:rsidR="00F74E86" w:rsidRPr="00CE440F">
        <w:rPr>
          <w:rFonts w:ascii="Times New Roman" w:eastAsia="Times New Roman" w:hAnsi="Times New Roman" w:cs="Times New Roman"/>
          <w:sz w:val="24"/>
          <w:szCs w:val="24"/>
        </w:rPr>
        <w:t>,</w:t>
      </w:r>
      <w:r w:rsidR="00321A5A" w:rsidRPr="00CE440F">
        <w:rPr>
          <w:rFonts w:ascii="Times New Roman" w:eastAsia="Times New Roman" w:hAnsi="Times New Roman" w:cs="Times New Roman"/>
          <w:sz w:val="24"/>
          <w:szCs w:val="24"/>
        </w:rPr>
        <w:t xml:space="preserve"> чрез които ще се осигури </w:t>
      </w:r>
      <w:r w:rsidR="003930B2" w:rsidRPr="00CE440F">
        <w:rPr>
          <w:rFonts w:ascii="Times New Roman" w:eastAsia="Times New Roman" w:hAnsi="Times New Roman" w:cs="Times New Roman"/>
          <w:sz w:val="24"/>
          <w:szCs w:val="24"/>
        </w:rPr>
        <w:t>нов пакет „Здравни грижи“,</w:t>
      </w:r>
      <w:r w:rsidR="003930B2" w:rsidRPr="00CE440F">
        <w:t xml:space="preserve"> </w:t>
      </w:r>
      <w:r w:rsidR="003930B2" w:rsidRPr="00CE440F">
        <w:rPr>
          <w:rFonts w:ascii="Times New Roman" w:eastAsia="Times New Roman" w:hAnsi="Times New Roman" w:cs="Times New Roman"/>
          <w:sz w:val="24"/>
          <w:szCs w:val="24"/>
        </w:rPr>
        <w:t>гарантиран от бюджета на НЗОК.</w:t>
      </w:r>
    </w:p>
    <w:p w:rsidR="003930B2" w:rsidRPr="00CE440F" w:rsidRDefault="003930B2" w:rsidP="003930B2">
      <w:pPr>
        <w:spacing w:before="60" w:after="0" w:line="300" w:lineRule="atLeast"/>
        <w:ind w:firstLine="567"/>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Включването на </w:t>
      </w:r>
      <w:r w:rsidR="00F74E86" w:rsidRPr="00CE440F">
        <w:rPr>
          <w:rFonts w:ascii="Times New Roman" w:eastAsia="Times New Roman" w:hAnsi="Times New Roman" w:cs="Times New Roman"/>
          <w:sz w:val="24"/>
          <w:szCs w:val="24"/>
        </w:rPr>
        <w:t>средства за пакет „Здравни грижи“</w:t>
      </w:r>
      <w:r w:rsidR="00F74E86" w:rsidRPr="00CE440F">
        <w:t xml:space="preserve"> </w:t>
      </w:r>
      <w:r w:rsidR="00F74E86" w:rsidRPr="00CE440F">
        <w:rPr>
          <w:rFonts w:ascii="Times New Roman" w:eastAsia="Times New Roman" w:hAnsi="Times New Roman" w:cs="Times New Roman"/>
          <w:sz w:val="24"/>
          <w:szCs w:val="24"/>
        </w:rPr>
        <w:t xml:space="preserve">в ЗБНЗОК </w:t>
      </w:r>
      <w:r w:rsidRPr="00CE440F">
        <w:rPr>
          <w:rFonts w:ascii="Times New Roman" w:eastAsia="Times New Roman" w:hAnsi="Times New Roman" w:cs="Times New Roman"/>
          <w:sz w:val="24"/>
          <w:szCs w:val="24"/>
        </w:rPr>
        <w:t xml:space="preserve">ще </w:t>
      </w:r>
      <w:r w:rsidR="00F74E86" w:rsidRPr="00CE440F">
        <w:rPr>
          <w:rFonts w:ascii="Times New Roman" w:eastAsia="Times New Roman" w:hAnsi="Times New Roman" w:cs="Times New Roman"/>
          <w:sz w:val="24"/>
          <w:szCs w:val="24"/>
        </w:rPr>
        <w:t xml:space="preserve">обезпечи </w:t>
      </w:r>
      <w:r w:rsidRPr="00CE440F">
        <w:rPr>
          <w:rFonts w:ascii="Times New Roman" w:eastAsia="Times New Roman" w:hAnsi="Times New Roman" w:cs="Times New Roman"/>
          <w:sz w:val="24"/>
          <w:szCs w:val="24"/>
        </w:rPr>
        <w:t xml:space="preserve"> дейностите, които се осъществяват от медицинските специалисти. Възможността тези дейности да се извършват и заплащат отделно от дейностите, които се осъществяват от лекарите в ПИМП и СИМП ще повиши удовлетвореността на медицинските специалисти от функционирането на системата на здравеопазване, ще повиши мотивацията и отговорностите им при изпълнение на работните задължения и ще осигури качество и достъпност на здравните грижи при гарантиране правата на пациентите. Пакет „Здравни грижи“ ще даде реална възможност за осигуряване на здравни грижи в дома на пациента за бременни и родилки, стари хора, инвалиди, на хора с психични и онкологични заболявания от правоспособни медицински специалисти по здравни грижи.</w:t>
      </w: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sz w:val="24"/>
          <w:szCs w:val="24"/>
        </w:rPr>
        <w:t xml:space="preserve">В тази връзка средствата в законопроекта се залагат в размер на </w:t>
      </w:r>
      <w:r w:rsidR="003930B2" w:rsidRPr="00CE440F">
        <w:rPr>
          <w:rFonts w:ascii="Times New Roman" w:eastAsia="Times New Roman" w:hAnsi="Times New Roman" w:cs="Times New Roman"/>
          <w:sz w:val="24"/>
          <w:szCs w:val="24"/>
        </w:rPr>
        <w:t>303</w:t>
      </w:r>
      <w:r w:rsidR="00CD71D2" w:rsidRPr="00CE440F">
        <w:rPr>
          <w:rFonts w:ascii="Times New Roman" w:eastAsia="Times New Roman" w:hAnsi="Times New Roman" w:cs="Times New Roman"/>
          <w:sz w:val="24"/>
          <w:szCs w:val="24"/>
        </w:rPr>
        <w:t> </w:t>
      </w:r>
      <w:r w:rsidR="003930B2" w:rsidRPr="00CE440F">
        <w:rPr>
          <w:rFonts w:ascii="Times New Roman" w:eastAsia="Times New Roman" w:hAnsi="Times New Roman" w:cs="Times New Roman"/>
          <w:sz w:val="24"/>
          <w:szCs w:val="24"/>
        </w:rPr>
        <w:t>229</w:t>
      </w:r>
      <w:r w:rsidR="00CD71D2"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млн.</w:t>
      </w:r>
      <w:r w:rsidR="00CD71D2"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лв. </w:t>
      </w:r>
    </w:p>
    <w:p w:rsidR="00634073" w:rsidRPr="00CE440F" w:rsidRDefault="00634073" w:rsidP="00DC1E52">
      <w:pPr>
        <w:spacing w:before="60" w:after="0" w:line="300" w:lineRule="atLeast"/>
        <w:ind w:firstLine="709"/>
        <w:jc w:val="both"/>
        <w:rPr>
          <w:rFonts w:ascii="Times New Roman" w:eastAsia="Times New Roman" w:hAnsi="Times New Roman" w:cs="Times New Roman"/>
          <w:b/>
          <w:sz w:val="24"/>
          <w:szCs w:val="24"/>
        </w:rPr>
      </w:pP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В. В областта на медико-диагностичната дейност (МДД)</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 По проекта за 20</w:t>
      </w:r>
      <w:r w:rsidR="00634073" w:rsidRPr="00CE440F">
        <w:rPr>
          <w:rFonts w:ascii="Times New Roman" w:eastAsia="Times New Roman" w:hAnsi="Times New Roman" w:cs="Times New Roman"/>
          <w:sz w:val="24"/>
          <w:szCs w:val="24"/>
        </w:rPr>
        <w:t>2</w:t>
      </w:r>
      <w:r w:rsidR="00CD71D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е прогнозиран общ брой от около 2</w:t>
      </w:r>
      <w:r w:rsidR="00CD71D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w:t>
      </w:r>
      <w:r w:rsidR="00CD71D2" w:rsidRPr="00CE440F">
        <w:rPr>
          <w:rFonts w:ascii="Times New Roman" w:eastAsia="Times New Roman" w:hAnsi="Times New Roman" w:cs="Times New Roman"/>
          <w:sz w:val="24"/>
          <w:szCs w:val="24"/>
        </w:rPr>
        <w:t>3</w:t>
      </w:r>
      <w:r w:rsidRPr="00CE440F">
        <w:rPr>
          <w:rFonts w:ascii="Times New Roman" w:eastAsia="Times New Roman" w:hAnsi="Times New Roman" w:cs="Times New Roman"/>
          <w:sz w:val="24"/>
          <w:szCs w:val="24"/>
        </w:rPr>
        <w:t xml:space="preserve"> млн. броя медико-диагностични изследвания за осигуряване на диагностичния процес и диспансерното наблюдение, съгласно пакета по чл.2, ал.1 от ЗЗО.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2. Със средствата за МДД по проекта се гарантира: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2.1 извършването на планираните профилактични прегледи на ЗОЛ над 18</w:t>
      </w:r>
      <w:r w:rsidR="00512B22"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години и вторични профилактични прегледи при ОПЛ с необходими средства за МДД;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2.2 назначаване на изследване на цитонамазка за жени от 30-40 годишна възраст в календарната година с цел профилактика на злокачествено новообразование на шийката на матката, съгласно заложения алгоритъм в Наредба №8 от 2016 г за профилактичните прегледи и диспансеризацията; </w:t>
      </w:r>
    </w:p>
    <w:p w:rsidR="003E3283"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2.3. назначаване необходимите изследвания за медико-диагностични дейности при планиран повишен брой на ЗОЛ </w:t>
      </w:r>
      <w:r w:rsidR="00512B22" w:rsidRPr="00CE440F">
        <w:rPr>
          <w:rFonts w:ascii="Times New Roman" w:eastAsia="Times New Roman" w:hAnsi="Times New Roman" w:cs="Times New Roman"/>
          <w:sz w:val="24"/>
          <w:szCs w:val="24"/>
        </w:rPr>
        <w:t xml:space="preserve">с диспансерни диагнози при ОПЛ </w:t>
      </w:r>
      <w:r w:rsidRPr="00CE440F">
        <w:rPr>
          <w:rFonts w:ascii="Times New Roman" w:eastAsia="Times New Roman" w:hAnsi="Times New Roman" w:cs="Times New Roman"/>
          <w:sz w:val="24"/>
          <w:szCs w:val="24"/>
        </w:rPr>
        <w:t>и за повишен брой профилактични прегледи</w:t>
      </w:r>
      <w:r w:rsidR="003E3283" w:rsidRPr="00CE440F">
        <w:rPr>
          <w:rFonts w:ascii="Times New Roman" w:eastAsia="Times New Roman" w:hAnsi="Times New Roman" w:cs="Times New Roman"/>
          <w:sz w:val="24"/>
          <w:szCs w:val="24"/>
        </w:rPr>
        <w:t xml:space="preserve"> на ЗОЛ в рискови групи при ОПЛ.</w:t>
      </w:r>
    </w:p>
    <w:p w:rsidR="003E3283" w:rsidRPr="00CE440F" w:rsidRDefault="003E3283"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2.4. </w:t>
      </w:r>
      <w:r w:rsidRPr="00CE440F">
        <w:rPr>
          <w:rFonts w:ascii="Times New Roman" w:eastAsia="Times New Roman" w:hAnsi="Times New Roman" w:cs="Times New Roman"/>
          <w:sz w:val="24"/>
          <w:szCs w:val="24"/>
          <w:lang w:eastAsia="bg-BG"/>
        </w:rPr>
        <w:t xml:space="preserve">осигуряване извършването на диагностичните изследвания, свързани с ранно откриване на заболявания и усложнения при остри състояния в извънболничната помощ. </w:t>
      </w:r>
    </w:p>
    <w:p w:rsidR="00B92872" w:rsidRPr="00CE440F" w:rsidRDefault="00CC062A" w:rsidP="000411BB">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lastRenderedPageBreak/>
        <w:t xml:space="preserve">В тази връзка средствата в законопроекта се залагат в размер на </w:t>
      </w:r>
      <w:r w:rsidR="003930B2" w:rsidRPr="00CE440F">
        <w:rPr>
          <w:rFonts w:ascii="Times New Roman" w:eastAsia="Times New Roman" w:hAnsi="Times New Roman" w:cs="Times New Roman"/>
          <w:sz w:val="24"/>
          <w:szCs w:val="24"/>
        </w:rPr>
        <w:t>100</w:t>
      </w:r>
      <w:r w:rsidR="00CD71D2" w:rsidRPr="00CE440F">
        <w:rPr>
          <w:rFonts w:ascii="Times New Roman" w:eastAsia="Times New Roman" w:hAnsi="Times New Roman" w:cs="Times New Roman"/>
          <w:sz w:val="24"/>
          <w:szCs w:val="24"/>
        </w:rPr>
        <w:t xml:space="preserve"> </w:t>
      </w:r>
      <w:r w:rsidR="003930B2" w:rsidRPr="00CE440F">
        <w:rPr>
          <w:rFonts w:ascii="Times New Roman" w:eastAsia="Times New Roman" w:hAnsi="Times New Roman" w:cs="Times New Roman"/>
          <w:sz w:val="24"/>
          <w:szCs w:val="24"/>
        </w:rPr>
        <w:t>901</w:t>
      </w:r>
      <w:r w:rsidRPr="00CE440F">
        <w:rPr>
          <w:rFonts w:ascii="Times New Roman" w:eastAsia="Times New Roman" w:hAnsi="Times New Roman" w:cs="Times New Roman"/>
          <w:sz w:val="24"/>
          <w:szCs w:val="24"/>
        </w:rPr>
        <w:t xml:space="preserve"> </w:t>
      </w:r>
      <w:r w:rsidR="00CD71D2" w:rsidRPr="00CE440F">
        <w:rPr>
          <w:rFonts w:ascii="Times New Roman" w:eastAsia="Times New Roman" w:hAnsi="Times New Roman" w:cs="Times New Roman"/>
          <w:sz w:val="24"/>
          <w:szCs w:val="24"/>
        </w:rPr>
        <w:t>хил</w:t>
      </w:r>
      <w:r w:rsidRPr="00CE440F">
        <w:rPr>
          <w:rFonts w:ascii="Times New Roman" w:eastAsia="Times New Roman" w:hAnsi="Times New Roman" w:cs="Times New Roman"/>
          <w:sz w:val="24"/>
          <w:szCs w:val="24"/>
        </w:rPr>
        <w:t>. лв. за 20</w:t>
      </w:r>
      <w:r w:rsidR="00A04042" w:rsidRPr="00CE440F">
        <w:rPr>
          <w:rFonts w:ascii="Times New Roman" w:eastAsia="Times New Roman" w:hAnsi="Times New Roman" w:cs="Times New Roman"/>
          <w:sz w:val="24"/>
          <w:szCs w:val="24"/>
        </w:rPr>
        <w:t>2</w:t>
      </w:r>
      <w:r w:rsidR="00CD71D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w:t>
      </w:r>
    </w:p>
    <w:p w:rsidR="00B92872" w:rsidRPr="00CE440F" w:rsidRDefault="00B92872" w:rsidP="00DC1E52">
      <w:pPr>
        <w:spacing w:before="60" w:after="0" w:line="300" w:lineRule="atLeast"/>
        <w:ind w:firstLine="709"/>
        <w:jc w:val="both"/>
        <w:rPr>
          <w:rFonts w:ascii="Times New Roman" w:eastAsia="Times New Roman" w:hAnsi="Times New Roman" w:cs="Times New Roman"/>
          <w:b/>
          <w:sz w:val="24"/>
          <w:szCs w:val="24"/>
        </w:rPr>
      </w:pPr>
    </w:p>
    <w:p w:rsidR="00CC062A" w:rsidRPr="00CE440F" w:rsidRDefault="00E57FD6"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Г</w:t>
      </w:r>
      <w:r w:rsidR="00CC062A" w:rsidRPr="00CE440F">
        <w:rPr>
          <w:rFonts w:ascii="Times New Roman" w:eastAsia="Times New Roman" w:hAnsi="Times New Roman" w:cs="Times New Roman"/>
          <w:b/>
          <w:sz w:val="24"/>
          <w:szCs w:val="24"/>
        </w:rPr>
        <w:t>. В областта на болничната медицинска помощ (БМП)</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 С планираните средства по проекта за 20</w:t>
      </w:r>
      <w:r w:rsidR="00A04042" w:rsidRPr="00CE440F">
        <w:rPr>
          <w:rFonts w:ascii="Times New Roman" w:eastAsia="Times New Roman" w:hAnsi="Times New Roman" w:cs="Times New Roman"/>
          <w:sz w:val="24"/>
          <w:szCs w:val="24"/>
        </w:rPr>
        <w:t>2</w:t>
      </w:r>
      <w:r w:rsidR="00733D1D"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г. е разчетено осигуряване на финансирането на пакета болнична помощ по чл.2, ал.1 от ЗЗО в условията на здравно-демографското състояние на населението – за закупуване годишно на общ брой от около 2</w:t>
      </w:r>
      <w:r w:rsidR="005604A3" w:rsidRPr="00CE440F">
        <w:rPr>
          <w:rFonts w:ascii="Times New Roman" w:eastAsia="Times New Roman" w:hAnsi="Times New Roman" w:cs="Times New Roman"/>
          <w:sz w:val="24"/>
          <w:szCs w:val="24"/>
        </w:rPr>
        <w:t>,2</w:t>
      </w:r>
      <w:r w:rsidRPr="00CE440F">
        <w:rPr>
          <w:rFonts w:ascii="Times New Roman" w:eastAsia="Times New Roman" w:hAnsi="Times New Roman" w:cs="Times New Roman"/>
          <w:sz w:val="24"/>
          <w:szCs w:val="24"/>
        </w:rPr>
        <w:t> млн. броя хоспитализации по клинични пътеки и 1,</w:t>
      </w:r>
      <w:r w:rsidR="00733D1D" w:rsidRPr="00CE440F">
        <w:rPr>
          <w:rFonts w:ascii="Times New Roman" w:eastAsia="Times New Roman" w:hAnsi="Times New Roman" w:cs="Times New Roman"/>
          <w:sz w:val="24"/>
          <w:szCs w:val="24"/>
        </w:rPr>
        <w:t>6</w:t>
      </w:r>
      <w:r w:rsidRPr="00CE440F">
        <w:rPr>
          <w:rFonts w:ascii="Times New Roman" w:eastAsia="Times New Roman" w:hAnsi="Times New Roman" w:cs="Times New Roman"/>
          <w:sz w:val="24"/>
          <w:szCs w:val="24"/>
        </w:rPr>
        <w:t> млн. клинични и амбулаторни процедури.</w:t>
      </w:r>
    </w:p>
    <w:p w:rsidR="00CC062A" w:rsidRPr="00CE440F" w:rsidRDefault="00CC062A" w:rsidP="00DC1E52">
      <w:pPr>
        <w:spacing w:before="60" w:after="0" w:line="300" w:lineRule="atLeast"/>
        <w:ind w:firstLine="709"/>
        <w:jc w:val="both"/>
        <w:rPr>
          <w:rFonts w:ascii="Times New Roman" w:eastAsia="Times New Roman" w:hAnsi="Times New Roman" w:cs="Times New Roman"/>
          <w:strike/>
          <w:sz w:val="24"/>
          <w:szCs w:val="24"/>
        </w:rPr>
      </w:pPr>
      <w:r w:rsidRPr="00CE440F">
        <w:rPr>
          <w:rFonts w:ascii="Times New Roman" w:eastAsia="Times New Roman" w:hAnsi="Times New Roman" w:cs="Times New Roman"/>
          <w:sz w:val="24"/>
          <w:szCs w:val="24"/>
        </w:rPr>
        <w:t>2. Със средствата за БМП по проекта за 20</w:t>
      </w:r>
      <w:r w:rsidR="00A04042" w:rsidRPr="00CE440F">
        <w:rPr>
          <w:rFonts w:ascii="Times New Roman" w:eastAsia="Times New Roman" w:hAnsi="Times New Roman" w:cs="Times New Roman"/>
          <w:sz w:val="24"/>
          <w:szCs w:val="24"/>
        </w:rPr>
        <w:t>2</w:t>
      </w:r>
      <w:r w:rsidR="00733D1D"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се предвижда:</w:t>
      </w:r>
      <w:r w:rsidRPr="00CE440F">
        <w:rPr>
          <w:rFonts w:ascii="Times New Roman" w:eastAsia="Times New Roman" w:hAnsi="Times New Roman" w:cs="Times New Roman"/>
          <w:strike/>
          <w:sz w:val="24"/>
          <w:szCs w:val="24"/>
        </w:rPr>
        <w:t xml:space="preserve"> </w:t>
      </w:r>
    </w:p>
    <w:p w:rsidR="00CC062A" w:rsidRPr="00CE440F" w:rsidRDefault="00664E9B"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2.1. р</w:t>
      </w:r>
      <w:r w:rsidR="00CC062A" w:rsidRPr="00CE440F">
        <w:rPr>
          <w:rFonts w:ascii="Times New Roman" w:eastAsia="Times New Roman" w:hAnsi="Times New Roman" w:cs="Times New Roman"/>
          <w:sz w:val="24"/>
          <w:szCs w:val="24"/>
        </w:rPr>
        <w:t xml:space="preserve">азширяване на достъпа и съответно на обхванатите болни с модерни, високотехнологични и високоефективни методи на лечение;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2.2. </w:t>
      </w:r>
      <w:r w:rsidR="00374ECB" w:rsidRPr="00CE440F">
        <w:rPr>
          <w:rFonts w:ascii="Times New Roman" w:eastAsia="Times New Roman" w:hAnsi="Times New Roman" w:cs="Times New Roman"/>
          <w:sz w:val="24"/>
          <w:szCs w:val="24"/>
          <w:lang w:eastAsia="bg-BG"/>
        </w:rPr>
        <w:t>осигуряване на достъпа на здравноосигурените лица до болнична медицинска помощ, изпълнявана на територията на съответната РЗОК по местоживеене на лицата;</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3. Прогнозира се през 20</w:t>
      </w:r>
      <w:r w:rsidR="005604A3" w:rsidRPr="00CE440F">
        <w:rPr>
          <w:rFonts w:ascii="Times New Roman" w:eastAsia="Times New Roman" w:hAnsi="Times New Roman" w:cs="Times New Roman"/>
          <w:sz w:val="24"/>
          <w:szCs w:val="24"/>
        </w:rPr>
        <w:t>2</w:t>
      </w:r>
      <w:r w:rsidR="00733D1D"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да се продължи усъвършенстването на: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 механизмите за контрол върху оказаната и заплатена медицинска помощ в лечебните заведения за болнична медицинска помощ, както и работата за оптимизиране ефективността и усъвършенстване на механизмите за разпределение и управление на средствата за здравноосигурителни плащания за болнична медицинска помощ;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въвеждане на контрол на случаен и внезапен принцип върху реализираните скъпоструващи генетични изследванията, на основата на които се определя хода на лечението и таргетната терапия за онкологично болни пациенти, като за целта ще се разработи нова дейност - амбулаторна процедура;</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 тази връзка средствата в законопроекта се залагат в размер на </w:t>
      </w:r>
      <w:r w:rsidR="00733D1D" w:rsidRPr="00CE440F">
        <w:rPr>
          <w:rFonts w:ascii="Times New Roman" w:eastAsia="Times New Roman" w:hAnsi="Times New Roman" w:cs="Times New Roman"/>
          <w:sz w:val="24"/>
          <w:szCs w:val="24"/>
        </w:rPr>
        <w:t>2 3</w:t>
      </w:r>
      <w:r w:rsidR="000411BB" w:rsidRPr="00CE440F">
        <w:rPr>
          <w:rFonts w:ascii="Times New Roman" w:eastAsia="Times New Roman" w:hAnsi="Times New Roman" w:cs="Times New Roman"/>
          <w:sz w:val="24"/>
          <w:szCs w:val="24"/>
        </w:rPr>
        <w:t>74</w:t>
      </w:r>
      <w:r w:rsidR="00733D1D" w:rsidRPr="00CE440F">
        <w:rPr>
          <w:rFonts w:ascii="Times New Roman" w:eastAsia="Times New Roman" w:hAnsi="Times New Roman" w:cs="Times New Roman"/>
          <w:sz w:val="24"/>
          <w:szCs w:val="24"/>
        </w:rPr>
        <w:t> </w:t>
      </w:r>
      <w:r w:rsidR="000411BB" w:rsidRPr="00CE440F">
        <w:rPr>
          <w:rFonts w:ascii="Times New Roman" w:eastAsia="Times New Roman" w:hAnsi="Times New Roman" w:cs="Times New Roman"/>
          <w:sz w:val="24"/>
          <w:szCs w:val="24"/>
        </w:rPr>
        <w:t>142</w:t>
      </w:r>
      <w:r w:rsidR="00733D1D" w:rsidRPr="00CE440F">
        <w:rPr>
          <w:rFonts w:ascii="Times New Roman" w:eastAsia="Times New Roman" w:hAnsi="Times New Roman" w:cs="Times New Roman"/>
          <w:sz w:val="24"/>
          <w:szCs w:val="24"/>
        </w:rPr>
        <w:t>,</w:t>
      </w:r>
      <w:r w:rsidR="000411BB" w:rsidRPr="00CE440F">
        <w:rPr>
          <w:rFonts w:ascii="Times New Roman" w:eastAsia="Times New Roman" w:hAnsi="Times New Roman" w:cs="Times New Roman"/>
          <w:sz w:val="24"/>
          <w:szCs w:val="24"/>
        </w:rPr>
        <w:t>1</w:t>
      </w:r>
      <w:r w:rsidR="00733D1D" w:rsidRPr="00CE440F">
        <w:rPr>
          <w:rFonts w:ascii="Times New Roman" w:eastAsia="Times New Roman" w:hAnsi="Times New Roman" w:cs="Times New Roman"/>
          <w:sz w:val="24"/>
          <w:szCs w:val="24"/>
        </w:rPr>
        <w:t> хил. </w:t>
      </w:r>
      <w:r w:rsidRPr="00CE440F">
        <w:rPr>
          <w:rFonts w:ascii="Times New Roman" w:eastAsia="Times New Roman" w:hAnsi="Times New Roman" w:cs="Times New Roman"/>
          <w:sz w:val="24"/>
          <w:szCs w:val="24"/>
        </w:rPr>
        <w:t>лв. за болнична медицинска помощ за 20</w:t>
      </w:r>
      <w:r w:rsidR="00C6250B" w:rsidRPr="00CE440F">
        <w:rPr>
          <w:rFonts w:ascii="Times New Roman" w:eastAsia="Times New Roman" w:hAnsi="Times New Roman" w:cs="Times New Roman"/>
          <w:sz w:val="24"/>
          <w:szCs w:val="24"/>
        </w:rPr>
        <w:t>2</w:t>
      </w:r>
      <w:r w:rsidR="00733D1D"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w:t>
      </w:r>
    </w:p>
    <w:p w:rsidR="005514A0" w:rsidRPr="00CE440F" w:rsidRDefault="005514A0" w:rsidP="00DC1E52">
      <w:pPr>
        <w:spacing w:before="60" w:after="0" w:line="300" w:lineRule="atLeast"/>
        <w:ind w:firstLine="709"/>
        <w:jc w:val="both"/>
        <w:rPr>
          <w:rFonts w:ascii="Times New Roman" w:eastAsia="Times New Roman" w:hAnsi="Times New Roman" w:cs="Times New Roman"/>
          <w:sz w:val="24"/>
          <w:szCs w:val="24"/>
        </w:rPr>
      </w:pPr>
    </w:p>
    <w:p w:rsidR="00CC062A" w:rsidRPr="00CE440F" w:rsidRDefault="000411BB"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Д</w:t>
      </w:r>
      <w:r w:rsidR="00CC062A" w:rsidRPr="00CE440F">
        <w:rPr>
          <w:rFonts w:ascii="Times New Roman" w:eastAsia="Times New Roman" w:hAnsi="Times New Roman" w:cs="Times New Roman"/>
          <w:b/>
          <w:sz w:val="24"/>
          <w:szCs w:val="24"/>
        </w:rPr>
        <w:t>. В областта на денталната помощ</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По законопроекта е заложено осигуряване на 6,</w:t>
      </w:r>
      <w:r w:rsidR="00B92872" w:rsidRPr="00CE440F">
        <w:rPr>
          <w:rFonts w:ascii="Times New Roman" w:eastAsia="Times New Roman" w:hAnsi="Times New Roman" w:cs="Times New Roman"/>
          <w:sz w:val="24"/>
          <w:szCs w:val="24"/>
        </w:rPr>
        <w:t>3</w:t>
      </w:r>
      <w:r w:rsidRPr="00CE440F">
        <w:rPr>
          <w:rFonts w:ascii="Times New Roman" w:eastAsia="Times New Roman" w:hAnsi="Times New Roman" w:cs="Times New Roman"/>
          <w:sz w:val="24"/>
          <w:szCs w:val="24"/>
        </w:rPr>
        <w:t xml:space="preserve"> млн. броя дентални дейности, в т.ч.:</w:t>
      </w:r>
    </w:p>
    <w:p w:rsidR="00CC062A" w:rsidRPr="00CE440F" w:rsidRDefault="00CC062A" w:rsidP="00DC1E52">
      <w:pPr>
        <w:tabs>
          <w:tab w:val="left" w:pos="993"/>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ab/>
        <w:t>Дейности за ЗОЛ до 18-годишна възраст – за целия заплащан през 20</w:t>
      </w:r>
      <w:r w:rsidR="00C6250B" w:rsidRPr="00CE440F">
        <w:rPr>
          <w:rFonts w:ascii="Times New Roman" w:eastAsia="Times New Roman" w:hAnsi="Times New Roman" w:cs="Times New Roman"/>
          <w:sz w:val="24"/>
          <w:szCs w:val="24"/>
        </w:rPr>
        <w:t>2</w:t>
      </w:r>
      <w:r w:rsidR="00B9287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период – по 1 преглед и до 4 лечебни дентални дейности;</w:t>
      </w:r>
    </w:p>
    <w:p w:rsidR="00CC062A" w:rsidRPr="00CE440F" w:rsidRDefault="00CC062A" w:rsidP="00DC1E52">
      <w:pPr>
        <w:tabs>
          <w:tab w:val="left" w:pos="993"/>
        </w:tabs>
        <w:spacing w:before="60" w:after="0" w:line="300" w:lineRule="atLeast"/>
        <w:ind w:firstLine="709"/>
        <w:jc w:val="both"/>
        <w:rPr>
          <w:rFonts w:ascii="Times New Roman" w:eastAsia="Times New Roman" w:hAnsi="Times New Roman" w:cs="Times New Roman"/>
          <w:strike/>
          <w:sz w:val="24"/>
          <w:szCs w:val="24"/>
        </w:rPr>
      </w:pPr>
      <w:r w:rsidRPr="00CE440F">
        <w:rPr>
          <w:rFonts w:ascii="Times New Roman" w:eastAsia="Times New Roman" w:hAnsi="Times New Roman" w:cs="Times New Roman"/>
          <w:sz w:val="24"/>
          <w:szCs w:val="24"/>
        </w:rPr>
        <w:t>2.</w:t>
      </w:r>
      <w:r w:rsidRPr="00CE440F">
        <w:rPr>
          <w:rFonts w:ascii="Times New Roman" w:eastAsia="Times New Roman" w:hAnsi="Times New Roman" w:cs="Times New Roman"/>
          <w:sz w:val="24"/>
          <w:szCs w:val="24"/>
        </w:rPr>
        <w:tab/>
        <w:t>Дейности за ЗОЛ над 18-годишна възраст – за целия заплащан през 20</w:t>
      </w:r>
      <w:r w:rsidR="00C6250B" w:rsidRPr="00CE440F">
        <w:rPr>
          <w:rFonts w:ascii="Times New Roman" w:eastAsia="Times New Roman" w:hAnsi="Times New Roman" w:cs="Times New Roman"/>
          <w:sz w:val="24"/>
          <w:szCs w:val="24"/>
        </w:rPr>
        <w:t>2</w:t>
      </w:r>
      <w:r w:rsidR="00B9287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период – по 1 преглед и до 3 лечебни дентални дейности. </w:t>
      </w:r>
    </w:p>
    <w:p w:rsidR="00183FF7" w:rsidRPr="00CE440F" w:rsidRDefault="00CC062A" w:rsidP="00DC1E52">
      <w:pPr>
        <w:spacing w:before="60" w:after="0" w:line="300" w:lineRule="atLeast"/>
        <w:ind w:firstLine="709"/>
        <w:jc w:val="both"/>
        <w:rPr>
          <w:rFonts w:ascii="Times New Roman" w:eastAsia="Times New Roman" w:hAnsi="Times New Roman" w:cs="Times New Roman"/>
          <w:strike/>
          <w:sz w:val="24"/>
          <w:szCs w:val="24"/>
        </w:rPr>
      </w:pPr>
      <w:r w:rsidRPr="00CE440F">
        <w:rPr>
          <w:rFonts w:ascii="Times New Roman" w:eastAsia="Times New Roman" w:hAnsi="Times New Roman" w:cs="Times New Roman"/>
          <w:sz w:val="24"/>
          <w:szCs w:val="24"/>
        </w:rPr>
        <w:t>3. Дейности по възстановяване функцията на дъвкателния апарат при цялостно  обеззъбени ЗОЛ</w:t>
      </w:r>
      <w:r w:rsidR="00C6250B"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 </w:t>
      </w:r>
      <w:r w:rsidR="00C6250B" w:rsidRPr="00CE440F">
        <w:rPr>
          <w:rFonts w:ascii="Times New Roman" w:eastAsia="Times New Roman" w:hAnsi="Times New Roman" w:cs="Times New Roman"/>
          <w:sz w:val="24"/>
          <w:szCs w:val="24"/>
        </w:rPr>
        <w:t>навършили</w:t>
      </w:r>
      <w:r w:rsidRPr="00CE440F">
        <w:rPr>
          <w:rFonts w:ascii="Times New Roman" w:eastAsia="Times New Roman" w:hAnsi="Times New Roman" w:cs="Times New Roman"/>
          <w:sz w:val="24"/>
          <w:szCs w:val="24"/>
        </w:rPr>
        <w:t xml:space="preserve"> 65 години</w:t>
      </w:r>
      <w:r w:rsidR="00C6250B"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 в т.ч. и контролни прегледи за период от 4 години. </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 тази връзка средствата в законопроекта се залагат в размер на </w:t>
      </w:r>
      <w:r w:rsidR="00B92872" w:rsidRPr="00CE440F">
        <w:rPr>
          <w:rFonts w:ascii="Times New Roman" w:eastAsia="Times New Roman" w:hAnsi="Times New Roman" w:cs="Times New Roman"/>
          <w:sz w:val="24"/>
          <w:szCs w:val="24"/>
        </w:rPr>
        <w:t>1</w:t>
      </w:r>
      <w:r w:rsidR="0021533A" w:rsidRPr="00CE440F">
        <w:rPr>
          <w:rFonts w:ascii="Times New Roman" w:eastAsia="Times New Roman" w:hAnsi="Times New Roman" w:cs="Times New Roman"/>
          <w:sz w:val="24"/>
          <w:szCs w:val="24"/>
        </w:rPr>
        <w:t>92</w:t>
      </w:r>
      <w:r w:rsidR="00B92872" w:rsidRPr="00CE440F">
        <w:rPr>
          <w:rFonts w:ascii="Times New Roman" w:eastAsia="Times New Roman" w:hAnsi="Times New Roman" w:cs="Times New Roman"/>
          <w:sz w:val="24"/>
          <w:szCs w:val="24"/>
        </w:rPr>
        <w:t> </w:t>
      </w:r>
      <w:r w:rsidR="0021533A" w:rsidRPr="00CE440F">
        <w:rPr>
          <w:rFonts w:ascii="Times New Roman" w:eastAsia="Times New Roman" w:hAnsi="Times New Roman" w:cs="Times New Roman"/>
          <w:sz w:val="24"/>
          <w:szCs w:val="24"/>
        </w:rPr>
        <w:t>386</w:t>
      </w:r>
      <w:r w:rsidR="00B92872" w:rsidRPr="00CE440F">
        <w:rPr>
          <w:rFonts w:ascii="Times New Roman" w:eastAsia="Times New Roman" w:hAnsi="Times New Roman" w:cs="Times New Roman"/>
          <w:sz w:val="24"/>
          <w:szCs w:val="24"/>
        </w:rPr>
        <w:t> хил</w:t>
      </w:r>
      <w:r w:rsidRPr="00CE440F">
        <w:rPr>
          <w:rFonts w:ascii="Times New Roman" w:eastAsia="Times New Roman" w:hAnsi="Times New Roman" w:cs="Times New Roman"/>
          <w:sz w:val="24"/>
          <w:szCs w:val="24"/>
        </w:rPr>
        <w:t>.</w:t>
      </w:r>
      <w:r w:rsidR="00B92872"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лв. за 20</w:t>
      </w:r>
      <w:r w:rsidR="00885C06" w:rsidRPr="00CE440F">
        <w:rPr>
          <w:rFonts w:ascii="Times New Roman" w:eastAsia="Times New Roman" w:hAnsi="Times New Roman" w:cs="Times New Roman"/>
          <w:sz w:val="24"/>
          <w:szCs w:val="24"/>
        </w:rPr>
        <w:t>2</w:t>
      </w:r>
      <w:r w:rsidR="00B9287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година.</w:t>
      </w:r>
    </w:p>
    <w:p w:rsidR="00DC1E52" w:rsidRPr="00CE440F" w:rsidRDefault="00DC1E52" w:rsidP="00DC1E52">
      <w:pPr>
        <w:spacing w:before="60" w:after="0" w:line="300" w:lineRule="atLeast"/>
        <w:ind w:firstLine="709"/>
        <w:jc w:val="both"/>
        <w:rPr>
          <w:rFonts w:ascii="Times New Roman" w:eastAsia="Times New Roman" w:hAnsi="Times New Roman" w:cs="Times New Roman"/>
          <w:sz w:val="24"/>
          <w:szCs w:val="24"/>
        </w:rPr>
      </w:pPr>
    </w:p>
    <w:p w:rsidR="00C059BC" w:rsidRPr="00CE440F" w:rsidRDefault="00B92872" w:rsidP="00EF449F">
      <w:pPr>
        <w:keepNext/>
        <w:spacing w:before="60" w:after="0" w:line="300" w:lineRule="atLeast"/>
        <w:ind w:firstLine="706"/>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lastRenderedPageBreak/>
        <w:t>Ж</w:t>
      </w:r>
      <w:r w:rsidR="00CC062A" w:rsidRPr="00CE440F">
        <w:rPr>
          <w:rFonts w:ascii="Times New Roman" w:eastAsia="Times New Roman" w:hAnsi="Times New Roman" w:cs="Times New Roman"/>
          <w:b/>
          <w:sz w:val="24"/>
          <w:szCs w:val="24"/>
        </w:rPr>
        <w:t xml:space="preserve">. В областта на лекарствените продукти, медицински изделия и диетични храни </w:t>
      </w:r>
    </w:p>
    <w:p w:rsidR="000C15E9" w:rsidRPr="00CE440F" w:rsidRDefault="00CC062A" w:rsidP="00B9287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През 20</w:t>
      </w:r>
      <w:r w:rsidR="00885C06" w:rsidRPr="00CE440F">
        <w:rPr>
          <w:rFonts w:ascii="Times New Roman" w:eastAsia="Times New Roman" w:hAnsi="Times New Roman" w:cs="Times New Roman"/>
          <w:sz w:val="24"/>
          <w:szCs w:val="24"/>
        </w:rPr>
        <w:t>2</w:t>
      </w:r>
      <w:r w:rsidR="00B9287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г. НЗОК ще гарантира заплащането на</w:t>
      </w:r>
      <w:r w:rsidR="000C15E9" w:rsidRPr="00CE440F">
        <w:rPr>
          <w:rFonts w:ascii="Times New Roman" w:eastAsia="Times New Roman" w:hAnsi="Times New Roman" w:cs="Times New Roman"/>
          <w:sz w:val="24"/>
          <w:szCs w:val="24"/>
        </w:rPr>
        <w:t>:</w:t>
      </w:r>
    </w:p>
    <w:p w:rsidR="00826BAD" w:rsidRPr="00CE440F" w:rsidRDefault="00826BAD" w:rsidP="00826BAD">
      <w:pPr>
        <w:pStyle w:val="ListParagraph"/>
        <w:numPr>
          <w:ilvl w:val="0"/>
          <w:numId w:val="14"/>
        </w:numPr>
        <w:tabs>
          <w:tab w:val="left" w:pos="1134"/>
        </w:tabs>
        <w:spacing w:before="60" w:after="0" w:line="300" w:lineRule="atLeast"/>
        <w:ind w:left="0" w:firstLine="708"/>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Лекарствени продукти, медицински изделия и диетични храни за специални медицински цели за домашно лечение на територията на страната</w:t>
      </w:r>
      <w:r w:rsidR="0063117D" w:rsidRPr="00CE440F">
        <w:rPr>
          <w:rFonts w:ascii="Times New Roman" w:eastAsia="Times New Roman" w:hAnsi="Times New Roman" w:cs="Times New Roman"/>
          <w:sz w:val="24"/>
          <w:szCs w:val="24"/>
        </w:rPr>
        <w:t>, с изключение на попадащите в групата на лекарствените продукти по т.3</w:t>
      </w:r>
      <w:r w:rsidR="00C620F1"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 </w:t>
      </w:r>
    </w:p>
    <w:p w:rsidR="00826BAD" w:rsidRPr="00CE440F" w:rsidRDefault="00826BAD" w:rsidP="00826BAD">
      <w:pPr>
        <w:pStyle w:val="ListParagraph"/>
        <w:tabs>
          <w:tab w:val="left" w:pos="1134"/>
        </w:tabs>
        <w:spacing w:before="60" w:after="0" w:line="300" w:lineRule="atLeast"/>
        <w:ind w:left="0" w:firstLine="708"/>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 лекарствени продукти, назначени с протокол,</w:t>
      </w:r>
      <w:r w:rsidR="00E31B73" w:rsidRPr="00CE440F">
        <w:rPr>
          <w:rFonts w:ascii="Times New Roman" w:eastAsia="Times New Roman" w:hAnsi="Times New Roman" w:cs="Times New Roman"/>
          <w:sz w:val="24"/>
          <w:szCs w:val="24"/>
        </w:rPr>
        <w:t xml:space="preserve"> за които се извърша експертиза</w:t>
      </w:r>
      <w:r w:rsidR="008A0D37"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със заложени в законопроекта за 202</w:t>
      </w:r>
      <w:r w:rsidR="00B9287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година средства в размер на </w:t>
      </w:r>
      <w:r w:rsidR="0021533A" w:rsidRPr="00CE440F">
        <w:rPr>
          <w:rFonts w:ascii="Times New Roman" w:eastAsia="Times New Roman" w:hAnsi="Times New Roman" w:cs="Times New Roman"/>
          <w:sz w:val="24"/>
          <w:szCs w:val="24"/>
        </w:rPr>
        <w:t>34</w:t>
      </w:r>
      <w:r w:rsidR="00F93452" w:rsidRPr="00CE440F">
        <w:rPr>
          <w:rFonts w:ascii="Times New Roman" w:eastAsia="Times New Roman" w:hAnsi="Times New Roman" w:cs="Times New Roman"/>
          <w:sz w:val="24"/>
          <w:szCs w:val="24"/>
        </w:rPr>
        <w:t>8</w:t>
      </w:r>
      <w:r w:rsidR="00B92872" w:rsidRPr="00CE440F">
        <w:rPr>
          <w:rFonts w:ascii="Times New Roman" w:eastAsia="Times New Roman" w:hAnsi="Times New Roman" w:cs="Times New Roman"/>
          <w:sz w:val="24"/>
          <w:szCs w:val="24"/>
        </w:rPr>
        <w:t> </w:t>
      </w:r>
      <w:r w:rsidR="00F93452" w:rsidRPr="00CE440F">
        <w:rPr>
          <w:rFonts w:ascii="Times New Roman" w:eastAsia="Times New Roman" w:hAnsi="Times New Roman" w:cs="Times New Roman"/>
          <w:sz w:val="24"/>
          <w:szCs w:val="24"/>
        </w:rPr>
        <w:t>5</w:t>
      </w:r>
      <w:r w:rsidR="003C285E" w:rsidRPr="00CE440F">
        <w:rPr>
          <w:rFonts w:ascii="Times New Roman" w:eastAsia="Times New Roman" w:hAnsi="Times New Roman" w:cs="Times New Roman"/>
          <w:sz w:val="24"/>
          <w:szCs w:val="24"/>
        </w:rPr>
        <w:t>00</w:t>
      </w:r>
      <w:r w:rsidR="00E31B73" w:rsidRPr="00CE440F">
        <w:rPr>
          <w:rFonts w:ascii="Times New Roman" w:eastAsia="Times New Roman" w:hAnsi="Times New Roman" w:cs="Times New Roman"/>
          <w:sz w:val="24"/>
          <w:szCs w:val="24"/>
        </w:rPr>
        <w:t> </w:t>
      </w:r>
      <w:r w:rsidR="00B92872" w:rsidRPr="00CE440F">
        <w:rPr>
          <w:rFonts w:ascii="Times New Roman" w:eastAsia="Times New Roman" w:hAnsi="Times New Roman" w:cs="Times New Roman"/>
          <w:sz w:val="24"/>
          <w:szCs w:val="24"/>
        </w:rPr>
        <w:t>хил</w:t>
      </w:r>
      <w:r w:rsidRPr="00CE440F">
        <w:rPr>
          <w:rFonts w:ascii="Times New Roman" w:eastAsia="Times New Roman" w:hAnsi="Times New Roman" w:cs="Times New Roman"/>
          <w:sz w:val="24"/>
          <w:szCs w:val="24"/>
        </w:rPr>
        <w:t>.</w:t>
      </w:r>
      <w:r w:rsidR="00B92872"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 xml:space="preserve">лв. </w:t>
      </w:r>
    </w:p>
    <w:p w:rsidR="00826BAD" w:rsidRPr="00CE440F" w:rsidRDefault="00826BAD" w:rsidP="00826BAD">
      <w:pPr>
        <w:pStyle w:val="ListParagraph"/>
        <w:tabs>
          <w:tab w:val="left" w:pos="1134"/>
        </w:tabs>
        <w:spacing w:before="60" w:after="0" w:line="300" w:lineRule="atLeast"/>
        <w:ind w:left="0" w:firstLine="708"/>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1.2. лекарствени продукти за домашно лечение на територията на страната извън тези назначени с протокол, медицински изделия и диетични храни за специални медицински цели за домашно лечение на територията на страната </w:t>
      </w:r>
      <w:r w:rsidR="00C620F1"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със заложени в законопроекта за 202</w:t>
      </w:r>
      <w:r w:rsidR="0021533A"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година средства в размер на </w:t>
      </w:r>
      <w:r w:rsidR="00B92872" w:rsidRPr="00CE440F">
        <w:rPr>
          <w:rFonts w:ascii="Times New Roman" w:eastAsia="Times New Roman" w:hAnsi="Times New Roman" w:cs="Times New Roman"/>
          <w:sz w:val="24"/>
          <w:szCs w:val="24"/>
        </w:rPr>
        <w:t>3</w:t>
      </w:r>
      <w:r w:rsidR="0021533A" w:rsidRPr="00CE440F">
        <w:rPr>
          <w:rFonts w:ascii="Times New Roman" w:eastAsia="Times New Roman" w:hAnsi="Times New Roman" w:cs="Times New Roman"/>
          <w:sz w:val="24"/>
          <w:szCs w:val="24"/>
        </w:rPr>
        <w:t>2</w:t>
      </w:r>
      <w:r w:rsidR="00F93452" w:rsidRPr="00CE440F">
        <w:rPr>
          <w:rFonts w:ascii="Times New Roman" w:eastAsia="Times New Roman" w:hAnsi="Times New Roman" w:cs="Times New Roman"/>
          <w:sz w:val="24"/>
          <w:szCs w:val="24"/>
        </w:rPr>
        <w:t>2</w:t>
      </w:r>
      <w:r w:rsidR="00B92872" w:rsidRPr="00CE440F">
        <w:rPr>
          <w:rFonts w:ascii="Times New Roman" w:eastAsia="Times New Roman" w:hAnsi="Times New Roman" w:cs="Times New Roman"/>
          <w:sz w:val="24"/>
          <w:szCs w:val="24"/>
        </w:rPr>
        <w:t> </w:t>
      </w:r>
      <w:r w:rsidR="00F93452" w:rsidRPr="00CE440F">
        <w:rPr>
          <w:rFonts w:ascii="Times New Roman" w:eastAsia="Times New Roman" w:hAnsi="Times New Roman" w:cs="Times New Roman"/>
          <w:sz w:val="24"/>
          <w:szCs w:val="24"/>
        </w:rPr>
        <w:t>5</w:t>
      </w:r>
      <w:r w:rsidR="0021533A" w:rsidRPr="00CE440F">
        <w:rPr>
          <w:rFonts w:ascii="Times New Roman" w:eastAsia="Times New Roman" w:hAnsi="Times New Roman" w:cs="Times New Roman"/>
          <w:sz w:val="24"/>
          <w:szCs w:val="24"/>
        </w:rPr>
        <w:t>00</w:t>
      </w:r>
      <w:r w:rsidR="00B92872" w:rsidRPr="00CE440F">
        <w:rPr>
          <w:rFonts w:ascii="Times New Roman" w:eastAsia="Times New Roman" w:hAnsi="Times New Roman" w:cs="Times New Roman"/>
          <w:sz w:val="24"/>
          <w:szCs w:val="24"/>
        </w:rPr>
        <w:t xml:space="preserve"> хил</w:t>
      </w:r>
      <w:r w:rsidRPr="00CE440F">
        <w:rPr>
          <w:rFonts w:ascii="Times New Roman" w:eastAsia="Times New Roman" w:hAnsi="Times New Roman" w:cs="Times New Roman"/>
          <w:sz w:val="24"/>
          <w:szCs w:val="24"/>
        </w:rPr>
        <w:t>.</w:t>
      </w:r>
      <w:r w:rsidR="00C620F1" w:rsidRPr="00CE440F">
        <w:rPr>
          <w:rFonts w:ascii="Times New Roman" w:eastAsia="Times New Roman" w:hAnsi="Times New Roman" w:cs="Times New Roman"/>
          <w:sz w:val="24"/>
          <w:szCs w:val="24"/>
        </w:rPr>
        <w:t> </w:t>
      </w:r>
      <w:r w:rsidR="00F93452" w:rsidRPr="00CE440F">
        <w:rPr>
          <w:rFonts w:ascii="Times New Roman" w:eastAsia="Times New Roman" w:hAnsi="Times New Roman" w:cs="Times New Roman"/>
          <w:sz w:val="24"/>
          <w:szCs w:val="24"/>
        </w:rPr>
        <w:t>лв.</w:t>
      </w:r>
    </w:p>
    <w:p w:rsidR="00826BAD" w:rsidRPr="00CE440F" w:rsidRDefault="00826BAD" w:rsidP="00826BAD">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Прогнозният брой здравноосигурени лица, който ще се обърне към аптечната мрежа, за получаване на лекарствени продукти, заплащани напълно или частично от НЗОК за домашно лечение за 202</w:t>
      </w:r>
      <w:r w:rsidR="00B92872" w:rsidRPr="00CE440F">
        <w:rPr>
          <w:rFonts w:ascii="Times New Roman" w:eastAsia="Times New Roman" w:hAnsi="Times New Roman" w:cs="Times New Roman"/>
          <w:sz w:val="24"/>
          <w:szCs w:val="24"/>
        </w:rPr>
        <w:t>1</w:t>
      </w:r>
      <w:r w:rsidR="008A0D37" w:rsidRPr="00CE440F">
        <w:rPr>
          <w:rFonts w:ascii="Times New Roman" w:eastAsia="Times New Roman" w:hAnsi="Times New Roman" w:cs="Times New Roman"/>
          <w:sz w:val="24"/>
          <w:szCs w:val="24"/>
        </w:rPr>
        <w:t xml:space="preserve"> г. </w:t>
      </w:r>
      <w:r w:rsidRPr="00CE440F">
        <w:rPr>
          <w:rFonts w:ascii="Times New Roman" w:eastAsia="Times New Roman" w:hAnsi="Times New Roman" w:cs="Times New Roman"/>
          <w:sz w:val="24"/>
          <w:szCs w:val="24"/>
        </w:rPr>
        <w:t>е</w:t>
      </w:r>
      <w:r w:rsidR="008A0D37" w:rsidRPr="00CE440F">
        <w:rPr>
          <w:rFonts w:ascii="Times New Roman" w:eastAsia="Times New Roman" w:hAnsi="Times New Roman" w:cs="Times New Roman"/>
          <w:sz w:val="24"/>
          <w:szCs w:val="24"/>
        </w:rPr>
        <w:t xml:space="preserve"> над</w:t>
      </w:r>
      <w:r w:rsidRPr="00CE440F">
        <w:rPr>
          <w:rFonts w:ascii="Times New Roman" w:eastAsia="Times New Roman" w:hAnsi="Times New Roman" w:cs="Times New Roman"/>
          <w:sz w:val="24"/>
          <w:szCs w:val="24"/>
        </w:rPr>
        <w:t xml:space="preserve"> от 1,</w:t>
      </w:r>
      <w:r w:rsidR="008A0D37" w:rsidRPr="00CE440F">
        <w:rPr>
          <w:rFonts w:ascii="Times New Roman" w:eastAsia="Times New Roman" w:hAnsi="Times New Roman" w:cs="Times New Roman"/>
          <w:sz w:val="24"/>
          <w:szCs w:val="24"/>
        </w:rPr>
        <w:t xml:space="preserve">3 </w:t>
      </w:r>
      <w:r w:rsidRPr="00CE440F">
        <w:rPr>
          <w:rFonts w:ascii="Times New Roman" w:eastAsia="Times New Roman" w:hAnsi="Times New Roman" w:cs="Times New Roman"/>
          <w:sz w:val="24"/>
          <w:szCs w:val="24"/>
        </w:rPr>
        <w:t xml:space="preserve">млн. здравноосигурени лица. </w:t>
      </w:r>
    </w:p>
    <w:p w:rsidR="008A0D37" w:rsidRPr="00CE440F" w:rsidRDefault="008A0D37" w:rsidP="00826BAD">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Очакваният брой пациенти за 2021</w:t>
      </w:r>
      <w:r w:rsidR="00430763"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г., за които НЗОК ще реимбурсира медицински изделия и диетични храни за медицински цели за домашно лечение е 80</w:t>
      </w:r>
      <w:r w:rsidR="00430763" w:rsidRPr="00CE440F">
        <w:rPr>
          <w:rFonts w:ascii="Times New Roman" w:eastAsia="Times New Roman" w:hAnsi="Times New Roman" w:cs="Times New Roman"/>
          <w:sz w:val="24"/>
          <w:szCs w:val="24"/>
        </w:rPr>
        <w:t> </w:t>
      </w:r>
      <w:r w:rsidR="00683CAE" w:rsidRPr="00CE440F">
        <w:rPr>
          <w:rFonts w:ascii="Times New Roman" w:eastAsia="Times New Roman" w:hAnsi="Times New Roman" w:cs="Times New Roman"/>
          <w:sz w:val="24"/>
          <w:szCs w:val="24"/>
        </w:rPr>
        <w:t>5</w:t>
      </w:r>
      <w:r w:rsidR="00430763" w:rsidRPr="00CE440F">
        <w:rPr>
          <w:rFonts w:ascii="Times New Roman" w:eastAsia="Times New Roman" w:hAnsi="Times New Roman" w:cs="Times New Roman"/>
          <w:sz w:val="24"/>
          <w:szCs w:val="24"/>
        </w:rPr>
        <w:t>00 </w:t>
      </w:r>
      <w:r w:rsidRPr="00CE440F">
        <w:rPr>
          <w:rFonts w:ascii="Times New Roman" w:eastAsia="Times New Roman" w:hAnsi="Times New Roman" w:cs="Times New Roman"/>
          <w:sz w:val="24"/>
          <w:szCs w:val="24"/>
        </w:rPr>
        <w:t>здравноосигурени лица.</w:t>
      </w:r>
    </w:p>
    <w:p w:rsidR="00826BAD" w:rsidRPr="00CE440F" w:rsidRDefault="007B4EE6" w:rsidP="007B4EE6">
      <w:pPr>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rPr>
        <w:t xml:space="preserve">За извънболнична диагностика и лечение с медицински изделия </w:t>
      </w:r>
      <w:r w:rsidRPr="00CE440F">
        <w:rPr>
          <w:rFonts w:ascii="Times New Roman" w:eastAsia="Times New Roman" w:hAnsi="Times New Roman" w:cs="Times New Roman"/>
          <w:sz w:val="24"/>
          <w:szCs w:val="24"/>
          <w:lang w:eastAsia="bg-BG"/>
        </w:rPr>
        <w:t xml:space="preserve">прилагани в условията на извънболнична медицинска помощ </w:t>
      </w:r>
      <w:r w:rsidRPr="00CE440F">
        <w:rPr>
          <w:rFonts w:ascii="Times New Roman" w:eastAsia="Times New Roman" w:hAnsi="Times New Roman" w:cs="Times New Roman"/>
          <w:sz w:val="24"/>
          <w:szCs w:val="24"/>
        </w:rPr>
        <w:t xml:space="preserve">е предвидено заплащането на нова група </w:t>
      </w:r>
      <w:r w:rsidRPr="00CE440F">
        <w:rPr>
          <w:rFonts w:ascii="Times New Roman" w:eastAsia="Times New Roman" w:hAnsi="Times New Roman" w:cs="Times New Roman"/>
          <w:sz w:val="24"/>
          <w:szCs w:val="24"/>
          <w:lang w:eastAsia="bg-BG"/>
        </w:rPr>
        <w:t xml:space="preserve">„Интермитентни катетри при пациенти със спина бифида“. </w:t>
      </w:r>
      <w:r w:rsidR="00826BAD" w:rsidRPr="00CE440F">
        <w:rPr>
          <w:rFonts w:ascii="Times New Roman" w:eastAsia="Times New Roman" w:hAnsi="Times New Roman" w:cs="Times New Roman"/>
          <w:sz w:val="24"/>
          <w:szCs w:val="24"/>
        </w:rPr>
        <w:t>Очакваният брой пациенти за 202</w:t>
      </w:r>
      <w:r w:rsidR="00B92872" w:rsidRPr="00CE440F">
        <w:rPr>
          <w:rFonts w:ascii="Times New Roman" w:eastAsia="Times New Roman" w:hAnsi="Times New Roman" w:cs="Times New Roman"/>
          <w:sz w:val="24"/>
          <w:szCs w:val="24"/>
        </w:rPr>
        <w:t>1</w:t>
      </w:r>
      <w:r w:rsidR="00826BAD" w:rsidRPr="00CE440F">
        <w:rPr>
          <w:rFonts w:ascii="Times New Roman" w:eastAsia="Times New Roman" w:hAnsi="Times New Roman" w:cs="Times New Roman"/>
          <w:sz w:val="24"/>
          <w:szCs w:val="24"/>
        </w:rPr>
        <w:t xml:space="preserve"> г. е </w:t>
      </w:r>
      <w:r w:rsidRPr="00CE440F">
        <w:rPr>
          <w:rFonts w:ascii="Times New Roman" w:eastAsia="Times New Roman" w:hAnsi="Times New Roman" w:cs="Times New Roman"/>
          <w:sz w:val="24"/>
          <w:szCs w:val="24"/>
        </w:rPr>
        <w:t xml:space="preserve">571 </w:t>
      </w:r>
      <w:r w:rsidR="00DD2A34" w:rsidRPr="00CE440F">
        <w:rPr>
          <w:rFonts w:ascii="Times New Roman" w:eastAsia="Times New Roman" w:hAnsi="Times New Roman" w:cs="Times New Roman"/>
          <w:sz w:val="24"/>
          <w:szCs w:val="24"/>
        </w:rPr>
        <w:t>здравноосигурени лица.</w:t>
      </w:r>
    </w:p>
    <w:p w:rsidR="00826BAD" w:rsidRPr="00CE440F" w:rsidRDefault="00ED0456" w:rsidP="00C1733B">
      <w:pPr>
        <w:pStyle w:val="ListParagraph"/>
        <w:numPr>
          <w:ilvl w:val="0"/>
          <w:numId w:val="14"/>
        </w:numPr>
        <w:tabs>
          <w:tab w:val="left" w:pos="0"/>
          <w:tab w:val="left" w:pos="142"/>
          <w:tab w:val="left" w:pos="567"/>
          <w:tab w:val="left" w:pos="1134"/>
        </w:tabs>
        <w:spacing w:before="60" w:after="0" w:line="300" w:lineRule="atLeast"/>
        <w:ind w:left="0"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w:t>
      </w:r>
      <w:r w:rsidR="0021533A" w:rsidRPr="00CE440F">
        <w:rPr>
          <w:rFonts w:ascii="Times New Roman" w:eastAsia="Times New Roman" w:hAnsi="Times New Roman" w:cs="Times New Roman"/>
          <w:sz w:val="24"/>
          <w:szCs w:val="24"/>
        </w:rPr>
        <w:t xml:space="preserve">включени в пакета здравни дейности, гарантиран от бюджета на НЗОК и прилагани </w:t>
      </w:r>
      <w:r w:rsidRPr="00CE440F">
        <w:rPr>
          <w:rFonts w:ascii="Times New Roman" w:eastAsia="Times New Roman" w:hAnsi="Times New Roman" w:cs="Times New Roman"/>
          <w:sz w:val="24"/>
          <w:szCs w:val="24"/>
        </w:rPr>
        <w:t>в условията на болнична медицинска помощ, които НЗОК заплаща извън стойността на оказваните медицински услуги</w:t>
      </w:r>
      <w:r w:rsidR="00893439"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 </w:t>
      </w:r>
      <w:r w:rsidR="00893439" w:rsidRPr="00CE440F">
        <w:rPr>
          <w:rFonts w:ascii="Times New Roman" w:eastAsia="Times New Roman" w:hAnsi="Times New Roman" w:cs="Times New Roman"/>
          <w:sz w:val="24"/>
          <w:szCs w:val="24"/>
        </w:rPr>
        <w:t xml:space="preserve">с изключение на попадащите в групата на лекарствените продукти по т.3 </w:t>
      </w:r>
      <w:r w:rsidR="00C620F1" w:rsidRPr="00CE440F">
        <w:rPr>
          <w:rFonts w:ascii="Times New Roman" w:eastAsia="Times New Roman" w:hAnsi="Times New Roman" w:cs="Times New Roman"/>
          <w:sz w:val="24"/>
          <w:szCs w:val="24"/>
        </w:rPr>
        <w:t xml:space="preserve">- </w:t>
      </w:r>
      <w:r w:rsidR="00826BAD" w:rsidRPr="00CE440F">
        <w:rPr>
          <w:rFonts w:ascii="Times New Roman" w:eastAsia="Times New Roman" w:hAnsi="Times New Roman" w:cs="Times New Roman"/>
          <w:sz w:val="24"/>
          <w:szCs w:val="24"/>
        </w:rPr>
        <w:t>със заложени в законопроекта за 202</w:t>
      </w:r>
      <w:r w:rsidRPr="00CE440F">
        <w:rPr>
          <w:rFonts w:ascii="Times New Roman" w:eastAsia="Times New Roman" w:hAnsi="Times New Roman" w:cs="Times New Roman"/>
          <w:sz w:val="24"/>
          <w:szCs w:val="24"/>
        </w:rPr>
        <w:t>1</w:t>
      </w:r>
      <w:r w:rsidR="00826BAD" w:rsidRPr="00CE440F">
        <w:rPr>
          <w:rFonts w:ascii="Times New Roman" w:eastAsia="Times New Roman" w:hAnsi="Times New Roman" w:cs="Times New Roman"/>
          <w:sz w:val="24"/>
          <w:szCs w:val="24"/>
        </w:rPr>
        <w:t xml:space="preserve"> година средства в размер на </w:t>
      </w:r>
      <w:r w:rsidR="00893439" w:rsidRPr="00CE440F">
        <w:rPr>
          <w:rFonts w:ascii="Times New Roman" w:eastAsia="Times New Roman" w:hAnsi="Times New Roman" w:cs="Times New Roman"/>
          <w:sz w:val="24"/>
          <w:szCs w:val="24"/>
        </w:rPr>
        <w:t>17</w:t>
      </w:r>
      <w:r w:rsidR="0063117D" w:rsidRPr="00CE440F">
        <w:rPr>
          <w:rFonts w:ascii="Times New Roman" w:eastAsia="Times New Roman" w:hAnsi="Times New Roman" w:cs="Times New Roman"/>
          <w:sz w:val="24"/>
          <w:szCs w:val="24"/>
        </w:rPr>
        <w:t>1</w:t>
      </w:r>
      <w:r w:rsidR="00893439" w:rsidRPr="00CE440F">
        <w:rPr>
          <w:rFonts w:ascii="Times New Roman" w:eastAsia="Times New Roman" w:hAnsi="Times New Roman" w:cs="Times New Roman"/>
          <w:sz w:val="24"/>
          <w:szCs w:val="24"/>
        </w:rPr>
        <w:t> </w:t>
      </w:r>
      <w:r w:rsidR="0063117D" w:rsidRPr="00CE440F">
        <w:rPr>
          <w:rFonts w:ascii="Times New Roman" w:eastAsia="Times New Roman" w:hAnsi="Times New Roman" w:cs="Times New Roman"/>
          <w:sz w:val="24"/>
          <w:szCs w:val="24"/>
        </w:rPr>
        <w:t>0</w:t>
      </w:r>
      <w:r w:rsidR="003C285E" w:rsidRPr="00CE440F">
        <w:rPr>
          <w:rFonts w:ascii="Times New Roman" w:eastAsia="Times New Roman" w:hAnsi="Times New Roman" w:cs="Times New Roman"/>
          <w:sz w:val="24"/>
          <w:szCs w:val="24"/>
        </w:rPr>
        <w:t>00</w:t>
      </w:r>
      <w:r w:rsidR="00C620F1"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хил</w:t>
      </w:r>
      <w:r w:rsidR="00512B22" w:rsidRPr="00CE440F">
        <w:rPr>
          <w:rFonts w:ascii="Times New Roman" w:eastAsia="Times New Roman" w:hAnsi="Times New Roman" w:cs="Times New Roman"/>
          <w:sz w:val="24"/>
          <w:szCs w:val="24"/>
        </w:rPr>
        <w:t>.</w:t>
      </w:r>
      <w:r w:rsidR="003C285E" w:rsidRPr="00CE440F">
        <w:rPr>
          <w:rFonts w:ascii="Times New Roman" w:eastAsia="Times New Roman" w:hAnsi="Times New Roman" w:cs="Times New Roman"/>
          <w:sz w:val="24"/>
          <w:szCs w:val="24"/>
        </w:rPr>
        <w:t> </w:t>
      </w:r>
      <w:r w:rsidR="00512B22" w:rsidRPr="00CE440F">
        <w:rPr>
          <w:rFonts w:ascii="Times New Roman" w:eastAsia="Times New Roman" w:hAnsi="Times New Roman" w:cs="Times New Roman"/>
          <w:sz w:val="24"/>
          <w:szCs w:val="24"/>
        </w:rPr>
        <w:t>лв</w:t>
      </w:r>
      <w:r w:rsidR="00826BAD" w:rsidRPr="00CE440F">
        <w:rPr>
          <w:rFonts w:ascii="Times New Roman" w:eastAsia="Times New Roman" w:hAnsi="Times New Roman" w:cs="Times New Roman"/>
          <w:sz w:val="24"/>
          <w:szCs w:val="24"/>
        </w:rPr>
        <w:t>.</w:t>
      </w:r>
    </w:p>
    <w:p w:rsidR="00893439" w:rsidRPr="00CE440F" w:rsidRDefault="00826BAD" w:rsidP="00893439">
      <w:pPr>
        <w:spacing w:before="60" w:after="0" w:line="300" w:lineRule="atLeast"/>
        <w:ind w:firstLine="709"/>
        <w:jc w:val="both"/>
      </w:pPr>
      <w:r w:rsidRPr="00CE440F">
        <w:rPr>
          <w:rFonts w:ascii="Times New Roman" w:eastAsia="Times New Roman" w:hAnsi="Times New Roman" w:cs="Times New Roman"/>
          <w:sz w:val="24"/>
          <w:szCs w:val="24"/>
        </w:rPr>
        <w:t>През 202</w:t>
      </w:r>
      <w:r w:rsidR="00ED0456"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г. е разчетено заплащането за над 35 хил. здравноосигурени лица на лекарствени продукти, предназначени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w:t>
      </w:r>
      <w:r w:rsidR="00893439" w:rsidRPr="00CE440F">
        <w:t xml:space="preserve"> </w:t>
      </w:r>
    </w:p>
    <w:p w:rsidR="00B74A42" w:rsidRPr="00CE440F" w:rsidRDefault="00C1733B" w:rsidP="00C1733B">
      <w:pPr>
        <w:pStyle w:val="ListParagraph"/>
        <w:numPr>
          <w:ilvl w:val="0"/>
          <w:numId w:val="14"/>
        </w:numPr>
        <w:tabs>
          <w:tab w:val="left" w:pos="0"/>
          <w:tab w:val="left" w:pos="1134"/>
        </w:tabs>
        <w:spacing w:before="60" w:after="0" w:line="300" w:lineRule="atLeast"/>
        <w:ind w:left="0" w:firstLine="708"/>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Л</w:t>
      </w:r>
      <w:r w:rsidR="00893439" w:rsidRPr="00CE440F">
        <w:rPr>
          <w:rFonts w:ascii="Times New Roman" w:eastAsia="Times New Roman" w:hAnsi="Times New Roman" w:cs="Times New Roman"/>
          <w:sz w:val="24"/>
          <w:szCs w:val="24"/>
        </w:rPr>
        <w:t xml:space="preserve">екарствени продукти с годишен разход за терапия на задължително осигурено лице равен или по-висок от прага на ефективност на разходите /3 пъти брутния вътрешен продукт на човек от населението/ </w:t>
      </w:r>
      <w:r w:rsidR="00C620F1" w:rsidRPr="00CE440F">
        <w:rPr>
          <w:rFonts w:ascii="Times New Roman" w:eastAsia="Times New Roman" w:hAnsi="Times New Roman" w:cs="Times New Roman"/>
          <w:sz w:val="24"/>
          <w:szCs w:val="24"/>
        </w:rPr>
        <w:t>-</w:t>
      </w:r>
      <w:r w:rsidR="00826BAD" w:rsidRPr="00CE440F">
        <w:rPr>
          <w:rFonts w:ascii="Times New Roman" w:eastAsia="Times New Roman" w:hAnsi="Times New Roman" w:cs="Times New Roman"/>
          <w:sz w:val="24"/>
          <w:szCs w:val="24"/>
        </w:rPr>
        <w:t xml:space="preserve"> със заложени в законопроекта за 202</w:t>
      </w:r>
      <w:r w:rsidR="00B92872" w:rsidRPr="00CE440F">
        <w:rPr>
          <w:rFonts w:ascii="Times New Roman" w:eastAsia="Times New Roman" w:hAnsi="Times New Roman" w:cs="Times New Roman"/>
          <w:sz w:val="24"/>
          <w:szCs w:val="24"/>
        </w:rPr>
        <w:t>1</w:t>
      </w:r>
      <w:r w:rsidR="00826BAD" w:rsidRPr="00CE440F">
        <w:rPr>
          <w:rFonts w:ascii="Times New Roman" w:eastAsia="Times New Roman" w:hAnsi="Times New Roman" w:cs="Times New Roman"/>
          <w:sz w:val="24"/>
          <w:szCs w:val="24"/>
        </w:rPr>
        <w:t xml:space="preserve"> година средства в размер на</w:t>
      </w:r>
      <w:r w:rsidR="00C620F1" w:rsidRPr="00CE440F">
        <w:rPr>
          <w:rFonts w:ascii="Times New Roman" w:eastAsia="Times New Roman" w:hAnsi="Times New Roman" w:cs="Times New Roman"/>
          <w:sz w:val="24"/>
          <w:szCs w:val="24"/>
        </w:rPr>
        <w:t xml:space="preserve"> </w:t>
      </w:r>
      <w:r w:rsidR="003C285E" w:rsidRPr="00CE440F">
        <w:rPr>
          <w:rFonts w:ascii="Times New Roman" w:eastAsia="Times New Roman" w:hAnsi="Times New Roman" w:cs="Times New Roman"/>
          <w:sz w:val="24"/>
          <w:szCs w:val="24"/>
        </w:rPr>
        <w:t>49</w:t>
      </w:r>
      <w:r w:rsidR="0063117D" w:rsidRPr="00CE440F">
        <w:rPr>
          <w:rFonts w:ascii="Times New Roman" w:eastAsia="Times New Roman" w:hAnsi="Times New Roman" w:cs="Times New Roman"/>
          <w:sz w:val="24"/>
          <w:szCs w:val="24"/>
        </w:rPr>
        <w:t>0</w:t>
      </w:r>
      <w:r w:rsidR="003C285E" w:rsidRPr="00CE440F">
        <w:rPr>
          <w:rFonts w:ascii="Times New Roman" w:eastAsia="Times New Roman" w:hAnsi="Times New Roman" w:cs="Times New Roman"/>
          <w:sz w:val="24"/>
          <w:szCs w:val="24"/>
        </w:rPr>
        <w:t> </w:t>
      </w:r>
      <w:r w:rsidR="0063117D" w:rsidRPr="00CE440F">
        <w:rPr>
          <w:rFonts w:ascii="Times New Roman" w:eastAsia="Times New Roman" w:hAnsi="Times New Roman" w:cs="Times New Roman"/>
          <w:sz w:val="24"/>
          <w:szCs w:val="24"/>
        </w:rPr>
        <w:t>00</w:t>
      </w:r>
      <w:r w:rsidR="003C285E" w:rsidRPr="00CE440F">
        <w:rPr>
          <w:rFonts w:ascii="Times New Roman" w:eastAsia="Times New Roman" w:hAnsi="Times New Roman" w:cs="Times New Roman"/>
          <w:sz w:val="24"/>
          <w:szCs w:val="24"/>
        </w:rPr>
        <w:t>0</w:t>
      </w:r>
      <w:r w:rsidR="00C620F1" w:rsidRPr="00CE440F">
        <w:rPr>
          <w:rFonts w:ascii="Times New Roman" w:eastAsia="Times New Roman" w:hAnsi="Times New Roman" w:cs="Times New Roman"/>
          <w:sz w:val="24"/>
          <w:szCs w:val="24"/>
        </w:rPr>
        <w:t> </w:t>
      </w:r>
      <w:r w:rsidR="00B92872" w:rsidRPr="00CE440F">
        <w:rPr>
          <w:rFonts w:ascii="Times New Roman" w:eastAsia="Times New Roman" w:hAnsi="Times New Roman" w:cs="Times New Roman"/>
          <w:sz w:val="24"/>
          <w:szCs w:val="24"/>
        </w:rPr>
        <w:t>хил</w:t>
      </w:r>
      <w:r w:rsidR="00893439" w:rsidRPr="00CE440F">
        <w:rPr>
          <w:rFonts w:ascii="Times New Roman" w:eastAsia="Times New Roman" w:hAnsi="Times New Roman" w:cs="Times New Roman"/>
          <w:sz w:val="24"/>
          <w:szCs w:val="24"/>
        </w:rPr>
        <w:t>. лв.</w:t>
      </w:r>
    </w:p>
    <w:p w:rsidR="008C0876" w:rsidRPr="00CE440F" w:rsidRDefault="008C0876" w:rsidP="008C0876">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В законопроекта, в чл.1, ал.2, в рамките на средствата за здравноосигурителни плащания за лекарствени продукти, е диференцирана нова група лекарствени продукти (нова спрямо съществуващите три групи лекарствени продукти, предвидени в ЗБНЗОК за 2020г.), за която е предвиден съответен бюджет, на отделен ред 1.1.3.5.3.</w:t>
      </w:r>
    </w:p>
    <w:p w:rsidR="00EA7E70" w:rsidRPr="00CE440F" w:rsidRDefault="008C0876" w:rsidP="008C0876">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lastRenderedPageBreak/>
        <w:t xml:space="preserve">В така сформираната група по критерий праг на ефективност/3 пъти БВП на човек от населението/ ще попаднат лекарствени терапии с висока стойност, чието влияние върху бюджета на НЗОК и по-специално върху разходите за лекарствени продукти е силно интензивно завишаващо. В същото време тази група касае относително малък брой задължително осигурени лица. </w:t>
      </w:r>
      <w:r w:rsidR="00EA7E70" w:rsidRPr="00CE440F">
        <w:rPr>
          <w:rFonts w:ascii="Times New Roman" w:eastAsia="Times New Roman" w:hAnsi="Times New Roman" w:cs="Times New Roman"/>
          <w:sz w:val="24"/>
          <w:szCs w:val="24"/>
        </w:rPr>
        <w:t xml:space="preserve">В тази група са включени лекарствени продукти за лечението на под 1% от ЗОЛ, а реимбурсната сума за тях представлява над една трета от всички разходи за лекарствени продукти, </w:t>
      </w:r>
      <w:r w:rsidRPr="00CE440F">
        <w:rPr>
          <w:rFonts w:ascii="Times New Roman" w:eastAsia="Times New Roman" w:hAnsi="Times New Roman" w:cs="Times New Roman"/>
          <w:sz w:val="24"/>
          <w:szCs w:val="24"/>
        </w:rPr>
        <w:t xml:space="preserve"> </w:t>
      </w:r>
    </w:p>
    <w:p w:rsidR="00893439" w:rsidRPr="00CE440F" w:rsidRDefault="008C0876" w:rsidP="008C0876">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Отделянето на тези изключително скъпи терапии в самостоятелна  група ще позволи в рамките на действащия механизъм и чрез договори сключвани с ПРУ да се осигури прогнозируемост, устойчивост и предвидимост на бюджета на НЗОК  ,без да се намалява достъпа до лечение, както и по справедливо прилагане тежестта на механизма върху всички участващи ПРУ без да се нарушава принципа на солидарност.</w:t>
      </w:r>
    </w:p>
    <w:p w:rsidR="00826BAD" w:rsidRPr="00CE440F" w:rsidRDefault="00826BAD" w:rsidP="008A0B4C">
      <w:pPr>
        <w:pStyle w:val="ListParagraph"/>
        <w:numPr>
          <w:ilvl w:val="0"/>
          <w:numId w:val="14"/>
        </w:numPr>
        <w:tabs>
          <w:tab w:val="left" w:pos="0"/>
          <w:tab w:val="left" w:pos="1134"/>
        </w:tabs>
        <w:spacing w:before="60" w:after="0" w:line="300" w:lineRule="atLeast"/>
        <w:ind w:left="0"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Медицински изделия, прилагани в условията на болничната медицинска помощ </w:t>
      </w:r>
      <w:r w:rsidR="00320960"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със заложени в законопроекта за 202</w:t>
      </w:r>
      <w:r w:rsidR="008A0B4C"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година средства в размер на </w:t>
      </w:r>
      <w:r w:rsidR="008A0B4C" w:rsidRPr="00CE440F">
        <w:rPr>
          <w:rFonts w:ascii="Times New Roman" w:eastAsia="Times New Roman" w:hAnsi="Times New Roman" w:cs="Times New Roman"/>
          <w:sz w:val="24"/>
          <w:szCs w:val="24"/>
        </w:rPr>
        <w:t>11</w:t>
      </w:r>
      <w:r w:rsidR="00D50991" w:rsidRPr="00CE440F">
        <w:rPr>
          <w:rFonts w:ascii="Times New Roman" w:eastAsia="Times New Roman" w:hAnsi="Times New Roman" w:cs="Times New Roman"/>
          <w:sz w:val="24"/>
          <w:szCs w:val="24"/>
        </w:rPr>
        <w:t>5</w:t>
      </w:r>
      <w:r w:rsidR="00893439" w:rsidRPr="00CE440F">
        <w:rPr>
          <w:rFonts w:ascii="Times New Roman" w:eastAsia="Times New Roman" w:hAnsi="Times New Roman" w:cs="Times New Roman"/>
          <w:sz w:val="24"/>
          <w:szCs w:val="24"/>
        </w:rPr>
        <w:t> </w:t>
      </w:r>
      <w:r w:rsidR="00D50991" w:rsidRPr="00CE440F">
        <w:rPr>
          <w:rFonts w:ascii="Times New Roman" w:eastAsia="Times New Roman" w:hAnsi="Times New Roman" w:cs="Times New Roman"/>
          <w:sz w:val="24"/>
          <w:szCs w:val="24"/>
        </w:rPr>
        <w:t>982</w:t>
      </w:r>
      <w:r w:rsidR="00A3504D" w:rsidRPr="00CE440F">
        <w:rPr>
          <w:rFonts w:ascii="Times New Roman" w:eastAsia="Times New Roman" w:hAnsi="Times New Roman" w:cs="Times New Roman"/>
          <w:sz w:val="24"/>
          <w:szCs w:val="24"/>
        </w:rPr>
        <w:t> </w:t>
      </w:r>
      <w:r w:rsidR="008A0B4C" w:rsidRPr="00CE440F">
        <w:rPr>
          <w:rFonts w:ascii="Times New Roman" w:eastAsia="Times New Roman" w:hAnsi="Times New Roman" w:cs="Times New Roman"/>
          <w:sz w:val="24"/>
          <w:szCs w:val="24"/>
        </w:rPr>
        <w:t>хил</w:t>
      </w:r>
      <w:r w:rsidRPr="00CE440F">
        <w:rPr>
          <w:rFonts w:ascii="Times New Roman" w:eastAsia="Times New Roman" w:hAnsi="Times New Roman" w:cs="Times New Roman"/>
          <w:sz w:val="24"/>
          <w:szCs w:val="24"/>
        </w:rPr>
        <w:t>.</w:t>
      </w:r>
      <w:r w:rsidR="00A3504D" w:rsidRPr="00CE440F">
        <w:rPr>
          <w:rFonts w:ascii="Times New Roman" w:eastAsia="Times New Roman" w:hAnsi="Times New Roman" w:cs="Times New Roman"/>
          <w:sz w:val="24"/>
          <w:szCs w:val="24"/>
        </w:rPr>
        <w:t> </w:t>
      </w:r>
      <w:r w:rsidR="008A0B4C" w:rsidRPr="00CE440F">
        <w:rPr>
          <w:rFonts w:ascii="Times New Roman" w:eastAsia="Times New Roman" w:hAnsi="Times New Roman" w:cs="Times New Roman"/>
          <w:sz w:val="24"/>
          <w:szCs w:val="24"/>
        </w:rPr>
        <w:t>лв.</w:t>
      </w:r>
    </w:p>
    <w:p w:rsidR="00826BAD" w:rsidRPr="00CE440F" w:rsidRDefault="00826BAD" w:rsidP="00826BAD">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Очакваният брой пациенти за 202</w:t>
      </w:r>
      <w:r w:rsidR="008A0B4C"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за болнично лечение </w:t>
      </w:r>
      <w:r w:rsidR="00DD2A34" w:rsidRPr="00CE440F">
        <w:rPr>
          <w:rFonts w:ascii="Times New Roman" w:eastAsia="Times New Roman" w:hAnsi="Times New Roman" w:cs="Times New Roman"/>
          <w:sz w:val="24"/>
          <w:szCs w:val="24"/>
        </w:rPr>
        <w:t xml:space="preserve">с медицински изделия е </w:t>
      </w:r>
      <w:r w:rsidRPr="00CE440F">
        <w:rPr>
          <w:rFonts w:ascii="Times New Roman" w:eastAsia="Times New Roman" w:hAnsi="Times New Roman" w:cs="Times New Roman"/>
          <w:sz w:val="24"/>
          <w:szCs w:val="24"/>
        </w:rPr>
        <w:t>4</w:t>
      </w:r>
      <w:r w:rsidR="00280885" w:rsidRPr="00CE440F">
        <w:rPr>
          <w:rFonts w:ascii="Times New Roman" w:eastAsia="Times New Roman" w:hAnsi="Times New Roman" w:cs="Times New Roman"/>
          <w:sz w:val="24"/>
          <w:szCs w:val="24"/>
        </w:rPr>
        <w:t>5</w:t>
      </w:r>
      <w:r w:rsidRPr="00CE440F">
        <w:rPr>
          <w:rFonts w:ascii="Times New Roman" w:eastAsia="Times New Roman" w:hAnsi="Times New Roman" w:cs="Times New Roman"/>
          <w:sz w:val="24"/>
          <w:szCs w:val="24"/>
        </w:rPr>
        <w:t> 000 здравноосигурени лица.</w:t>
      </w:r>
    </w:p>
    <w:p w:rsidR="00826BAD" w:rsidRPr="00CE440F" w:rsidRDefault="00826BAD" w:rsidP="00C7671D">
      <w:pPr>
        <w:spacing w:after="0" w:line="240" w:lineRule="auto"/>
        <w:ind w:firstLine="708"/>
        <w:jc w:val="both"/>
        <w:rPr>
          <w:rFonts w:ascii="Calibri" w:eastAsia="Times New Roman" w:hAnsi="Calibri" w:cs="Calibri"/>
          <w:lang w:val="en-US"/>
        </w:rPr>
      </w:pPr>
      <w:r w:rsidRPr="00CE440F">
        <w:rPr>
          <w:rFonts w:ascii="Times New Roman" w:eastAsia="Times New Roman" w:hAnsi="Times New Roman" w:cs="Times New Roman"/>
          <w:sz w:val="24"/>
          <w:szCs w:val="24"/>
        </w:rPr>
        <w:t xml:space="preserve">Разширява се достъпа на ЗОЛ </w:t>
      </w:r>
      <w:r w:rsidR="00B97153" w:rsidRPr="00CE440F">
        <w:rPr>
          <w:rFonts w:ascii="Times New Roman" w:eastAsia="Times New Roman" w:hAnsi="Times New Roman" w:cs="Times New Roman"/>
          <w:sz w:val="24"/>
          <w:szCs w:val="24"/>
        </w:rPr>
        <w:t xml:space="preserve">до медицински изделия </w:t>
      </w:r>
      <w:r w:rsidRPr="00CE440F">
        <w:rPr>
          <w:rFonts w:ascii="Times New Roman" w:eastAsia="Times New Roman" w:hAnsi="Times New Roman" w:cs="Times New Roman"/>
          <w:sz w:val="24"/>
          <w:szCs w:val="24"/>
        </w:rPr>
        <w:t xml:space="preserve">прилагани в условията на болнична медицинска помощ </w:t>
      </w:r>
      <w:r w:rsidR="00C7671D" w:rsidRPr="00CE440F">
        <w:rPr>
          <w:rFonts w:ascii="Times New Roman" w:eastAsia="Times New Roman" w:hAnsi="Times New Roman" w:cs="Times New Roman"/>
          <w:sz w:val="24"/>
          <w:szCs w:val="24"/>
        </w:rPr>
        <w:t>със 7 155 броя за следните видове медицински изделия</w:t>
      </w:r>
      <w:r w:rsidRPr="00CE440F">
        <w:rPr>
          <w:rFonts w:ascii="Times New Roman" w:eastAsia="Times New Roman" w:hAnsi="Times New Roman" w:cs="Times New Roman"/>
          <w:sz w:val="24"/>
          <w:szCs w:val="24"/>
        </w:rPr>
        <w:t xml:space="preserve">:  </w:t>
      </w:r>
    </w:p>
    <w:p w:rsidR="00081B8C" w:rsidRPr="00CE440F" w:rsidRDefault="00081B8C" w:rsidP="00C7671D">
      <w:pPr>
        <w:pStyle w:val="ListParagraph"/>
        <w:numPr>
          <w:ilvl w:val="0"/>
          <w:numId w:val="11"/>
        </w:numPr>
        <w:tabs>
          <w:tab w:val="left" w:pos="1134"/>
        </w:tabs>
        <w:spacing w:after="0" w:line="240" w:lineRule="auto"/>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балон катетър с поддържаща нитинолова структура на балона, за атравматична перкутанна транслуминална ангиопластика на периферни съдове, посредством контролирана дилатация;</w:t>
      </w:r>
    </w:p>
    <w:p w:rsidR="00081B8C" w:rsidRPr="00CE440F" w:rsidRDefault="00081B8C" w:rsidP="00C7671D">
      <w:pPr>
        <w:pStyle w:val="ListParagraph"/>
        <w:numPr>
          <w:ilvl w:val="0"/>
          <w:numId w:val="11"/>
        </w:numPr>
        <w:tabs>
          <w:tab w:val="left" w:pos="1134"/>
        </w:tabs>
        <w:spacing w:after="0" w:line="240" w:lineRule="auto"/>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система за физиологично стимулиране на снопа на Хис - състояща се от 4 френчов електрод, с фиксиран хеликс и въвеждаща система;</w:t>
      </w:r>
    </w:p>
    <w:p w:rsidR="00081B8C" w:rsidRPr="00CE440F" w:rsidRDefault="00081B8C" w:rsidP="00C7671D">
      <w:pPr>
        <w:pStyle w:val="ListParagraph"/>
        <w:numPr>
          <w:ilvl w:val="0"/>
          <w:numId w:val="11"/>
        </w:numPr>
        <w:tabs>
          <w:tab w:val="left" w:pos="1134"/>
        </w:tabs>
        <w:spacing w:after="0" w:line="240" w:lineRule="auto"/>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система за дългосрочно мониториране на сърдечния ритъм и модул за телемедицина;</w:t>
      </w:r>
    </w:p>
    <w:p w:rsidR="00081B8C" w:rsidRPr="00CE440F" w:rsidRDefault="00081B8C" w:rsidP="00C7671D">
      <w:pPr>
        <w:pStyle w:val="ListParagraph"/>
        <w:numPr>
          <w:ilvl w:val="0"/>
          <w:numId w:val="11"/>
        </w:numPr>
        <w:tabs>
          <w:tab w:val="left" w:pos="1134"/>
        </w:tabs>
        <w:spacing w:after="0" w:line="240" w:lineRule="auto"/>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антибактериални системи за стабилизация на имплантируеми устройства и предпазване от инфекции;</w:t>
      </w:r>
    </w:p>
    <w:p w:rsidR="00081B8C" w:rsidRPr="00CE440F" w:rsidRDefault="00081B8C" w:rsidP="00081B8C">
      <w:pPr>
        <w:pStyle w:val="ListParagraph"/>
        <w:numPr>
          <w:ilvl w:val="0"/>
          <w:numId w:val="11"/>
        </w:numPr>
        <w:tabs>
          <w:tab w:val="left" w:pos="1134"/>
        </w:tabs>
        <w:spacing w:before="60" w:after="0" w:line="300" w:lineRule="atLeast"/>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иновативни транскатетърни клапни протези (ТКП) за аортна позиция с антифосфолипидно покритие - балонразгъващи се;</w:t>
      </w:r>
    </w:p>
    <w:p w:rsidR="00081B8C" w:rsidRPr="00CE440F" w:rsidRDefault="00081B8C" w:rsidP="00081B8C">
      <w:pPr>
        <w:pStyle w:val="ListParagraph"/>
        <w:numPr>
          <w:ilvl w:val="0"/>
          <w:numId w:val="11"/>
        </w:numPr>
        <w:tabs>
          <w:tab w:val="left" w:pos="1134"/>
        </w:tabs>
        <w:spacing w:before="60" w:after="0" w:line="300" w:lineRule="atLeast"/>
        <w:ind w:left="0" w:firstLine="78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медицински изделия при оперативни интервенции с голям и много голям обем и сложност</w:t>
      </w:r>
    </w:p>
    <w:p w:rsidR="00081B8C" w:rsidRPr="00CE440F" w:rsidRDefault="00826BAD" w:rsidP="00C944DB">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През 202</w:t>
      </w:r>
      <w:r w:rsidR="008A0B4C"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w:t>
      </w:r>
      <w:r w:rsidR="00081B8C" w:rsidRPr="00CE440F">
        <w:rPr>
          <w:rFonts w:ascii="Times New Roman" w:eastAsia="Times New Roman" w:hAnsi="Times New Roman" w:cs="Times New Roman"/>
          <w:sz w:val="24"/>
          <w:szCs w:val="24"/>
        </w:rPr>
        <w:t>продължава действието на м</w:t>
      </w:r>
      <w:r w:rsidR="00A3504D" w:rsidRPr="00CE440F">
        <w:rPr>
          <w:rFonts w:ascii="Times New Roman" w:eastAsia="Times New Roman" w:hAnsi="Times New Roman" w:cs="Times New Roman"/>
          <w:sz w:val="24"/>
          <w:szCs w:val="24"/>
        </w:rPr>
        <w:t>еханизм</w:t>
      </w:r>
      <w:r w:rsidR="00081B8C" w:rsidRPr="00CE440F">
        <w:rPr>
          <w:rFonts w:ascii="Times New Roman" w:eastAsia="Times New Roman" w:hAnsi="Times New Roman" w:cs="Times New Roman"/>
          <w:sz w:val="24"/>
          <w:szCs w:val="24"/>
        </w:rPr>
        <w:t>а</w:t>
      </w:r>
      <w:r w:rsidR="00A3504D" w:rsidRPr="00CE440F">
        <w:rPr>
          <w:rFonts w:ascii="Times New Roman" w:eastAsia="Times New Roman" w:hAnsi="Times New Roman" w:cs="Times New Roman"/>
          <w:sz w:val="24"/>
          <w:szCs w:val="24"/>
        </w:rPr>
        <w:t xml:space="preserve"> за контрол върху разходите, </w:t>
      </w:r>
      <w:r w:rsidR="00081B8C" w:rsidRPr="00CE440F">
        <w:rPr>
          <w:rFonts w:ascii="Times New Roman" w:eastAsia="Times New Roman" w:hAnsi="Times New Roman" w:cs="Times New Roman"/>
          <w:sz w:val="24"/>
          <w:szCs w:val="24"/>
        </w:rPr>
        <w:t>за</w:t>
      </w:r>
      <w:r w:rsidR="00A3504D" w:rsidRPr="00CE440F">
        <w:rPr>
          <w:rFonts w:ascii="Times New Roman" w:eastAsia="Times New Roman" w:hAnsi="Times New Roman" w:cs="Times New Roman"/>
          <w:sz w:val="24"/>
          <w:szCs w:val="24"/>
        </w:rPr>
        <w:t xml:space="preserve"> договарянето от НЗОК на отстъпки за всички лекарствените продукти от Позитивния лекарствен списък и прилагане на механизми, гарантиращи предвидимост и устойчивост на бюджета на НЗОК, съгласно който се възстановяват надвишенията на годишните стойности по отделните групи лекарствени продукти.</w:t>
      </w:r>
      <w:r w:rsidR="00081B8C" w:rsidRPr="00CE440F">
        <w:rPr>
          <w:rFonts w:ascii="Times New Roman" w:eastAsia="Times New Roman" w:hAnsi="Times New Roman" w:cs="Times New Roman"/>
          <w:sz w:val="24"/>
          <w:szCs w:val="24"/>
        </w:rPr>
        <w:t xml:space="preserve"> </w:t>
      </w:r>
      <w:r w:rsidR="00B046A7" w:rsidRPr="00CE440F">
        <w:rPr>
          <w:rFonts w:ascii="Times New Roman" w:eastAsia="Times New Roman" w:hAnsi="Times New Roman" w:cs="Times New Roman"/>
          <w:sz w:val="24"/>
          <w:szCs w:val="24"/>
        </w:rPr>
        <w:t xml:space="preserve"> </w:t>
      </w:r>
    </w:p>
    <w:p w:rsidR="00446618"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Заложените по проектозакона средства за лекарствени продукти, медицински изделия и диетични храни са в общ размер на </w:t>
      </w:r>
      <w:r w:rsidR="00893439" w:rsidRPr="00CE440F">
        <w:rPr>
          <w:rFonts w:ascii="Times New Roman" w:eastAsia="Times New Roman" w:hAnsi="Times New Roman" w:cs="Times New Roman"/>
          <w:sz w:val="24"/>
          <w:szCs w:val="24"/>
        </w:rPr>
        <w:t>1 4</w:t>
      </w:r>
      <w:r w:rsidR="00D50991" w:rsidRPr="00CE440F">
        <w:rPr>
          <w:rFonts w:ascii="Times New Roman" w:eastAsia="Times New Roman" w:hAnsi="Times New Roman" w:cs="Times New Roman"/>
          <w:sz w:val="24"/>
          <w:szCs w:val="24"/>
        </w:rPr>
        <w:t>47</w:t>
      </w:r>
      <w:r w:rsidR="00893439" w:rsidRPr="00CE440F">
        <w:rPr>
          <w:rFonts w:ascii="Times New Roman" w:eastAsia="Times New Roman" w:hAnsi="Times New Roman" w:cs="Times New Roman"/>
          <w:sz w:val="24"/>
          <w:szCs w:val="24"/>
        </w:rPr>
        <w:t> </w:t>
      </w:r>
      <w:r w:rsidR="00D50991" w:rsidRPr="00CE440F">
        <w:rPr>
          <w:rFonts w:ascii="Times New Roman" w:eastAsia="Times New Roman" w:hAnsi="Times New Roman" w:cs="Times New Roman"/>
          <w:sz w:val="24"/>
          <w:szCs w:val="24"/>
        </w:rPr>
        <w:t>982</w:t>
      </w:r>
      <w:r w:rsidR="00893439" w:rsidRPr="00CE440F">
        <w:rPr>
          <w:rFonts w:ascii="Times New Roman" w:eastAsia="Times New Roman" w:hAnsi="Times New Roman" w:cs="Times New Roman"/>
          <w:sz w:val="24"/>
          <w:szCs w:val="24"/>
        </w:rPr>
        <w:t xml:space="preserve"> </w:t>
      </w:r>
      <w:r w:rsidR="008A0B4C" w:rsidRPr="00CE440F">
        <w:rPr>
          <w:rFonts w:ascii="Times New Roman" w:eastAsia="Times New Roman" w:hAnsi="Times New Roman" w:cs="Times New Roman"/>
          <w:sz w:val="24"/>
          <w:szCs w:val="24"/>
        </w:rPr>
        <w:t>хил</w:t>
      </w:r>
      <w:r w:rsidRPr="00CE440F">
        <w:rPr>
          <w:rFonts w:ascii="Times New Roman" w:eastAsia="Times New Roman" w:hAnsi="Times New Roman" w:cs="Times New Roman"/>
          <w:sz w:val="24"/>
          <w:szCs w:val="24"/>
        </w:rPr>
        <w:t xml:space="preserve">. лв. </w:t>
      </w:r>
    </w:p>
    <w:p w:rsidR="00893439" w:rsidRPr="00CE440F" w:rsidRDefault="00893439" w:rsidP="00281560">
      <w:pPr>
        <w:keepNext/>
        <w:spacing w:before="60" w:after="0" w:line="300" w:lineRule="atLeast"/>
        <w:ind w:firstLine="709"/>
        <w:jc w:val="both"/>
        <w:rPr>
          <w:rFonts w:ascii="Times New Roman" w:eastAsia="Times New Roman" w:hAnsi="Times New Roman" w:cs="Times New Roman"/>
          <w:b/>
          <w:sz w:val="24"/>
          <w:szCs w:val="24"/>
        </w:rPr>
      </w:pPr>
    </w:p>
    <w:p w:rsidR="00CC062A" w:rsidRPr="00CE440F" w:rsidRDefault="00CC062A" w:rsidP="00281560">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 xml:space="preserve">Ж. </w:t>
      </w:r>
      <w:r w:rsidR="004D74C7" w:rsidRPr="00CE440F">
        <w:rPr>
          <w:rFonts w:ascii="Times New Roman" w:eastAsia="Times New Roman" w:hAnsi="Times New Roman" w:cs="Times New Roman"/>
          <w:b/>
          <w:sz w:val="24"/>
          <w:szCs w:val="24"/>
        </w:rPr>
        <w:t xml:space="preserve">В областта </w:t>
      </w:r>
      <w:r w:rsidR="008855A4" w:rsidRPr="00CE440F">
        <w:rPr>
          <w:rFonts w:ascii="Times New Roman" w:eastAsia="Times New Roman" w:hAnsi="Times New Roman" w:cs="Times New Roman"/>
          <w:b/>
          <w:sz w:val="24"/>
          <w:szCs w:val="24"/>
        </w:rPr>
        <w:t>на</w:t>
      </w:r>
      <w:r w:rsidR="005514A0" w:rsidRPr="00CE440F">
        <w:rPr>
          <w:rFonts w:ascii="Times New Roman" w:eastAsia="Times New Roman" w:hAnsi="Times New Roman" w:cs="Times New Roman"/>
          <w:b/>
          <w:sz w:val="24"/>
          <w:szCs w:val="24"/>
        </w:rPr>
        <w:t xml:space="preserve"> м</w:t>
      </w:r>
      <w:r w:rsidRPr="00CE440F">
        <w:rPr>
          <w:rFonts w:ascii="Times New Roman" w:eastAsia="Times New Roman" w:hAnsi="Times New Roman" w:cs="Times New Roman"/>
          <w:b/>
          <w:sz w:val="24"/>
          <w:szCs w:val="24"/>
        </w:rPr>
        <w:t>едицинска</w:t>
      </w:r>
      <w:r w:rsidR="008855A4" w:rsidRPr="00CE440F">
        <w:rPr>
          <w:rFonts w:ascii="Times New Roman" w:eastAsia="Times New Roman" w:hAnsi="Times New Roman" w:cs="Times New Roman"/>
          <w:b/>
          <w:sz w:val="24"/>
          <w:szCs w:val="24"/>
        </w:rPr>
        <w:t>та</w:t>
      </w:r>
      <w:r w:rsidRPr="00CE440F">
        <w:rPr>
          <w:rFonts w:ascii="Times New Roman" w:eastAsia="Times New Roman" w:hAnsi="Times New Roman" w:cs="Times New Roman"/>
          <w:b/>
          <w:sz w:val="24"/>
          <w:szCs w:val="24"/>
        </w:rPr>
        <w:t xml:space="preserve"> помощ, оказана в съответствие с правилата за координация на системите за социална сигурност</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 съответствие с разпоредбите на относимото европейско законодателство за координация на системите за социална сигурност, осигурените в една държава членка на ЕС лица, при престой или пребиваване на територията на друга държава членка, </w:t>
      </w:r>
      <w:r w:rsidRPr="00CE440F">
        <w:rPr>
          <w:rFonts w:ascii="Times New Roman" w:eastAsia="Times New Roman" w:hAnsi="Times New Roman" w:cs="Times New Roman"/>
          <w:sz w:val="24"/>
          <w:szCs w:val="24"/>
        </w:rPr>
        <w:lastRenderedPageBreak/>
        <w:t>следва да получат същите обезщетения в натура (медицинска помощ от публичния здравноосигурителен пакет), както осигурените граждани на държавата по престой или пребиваване, и по реда, определен в местното национално законодателство-принцип на равното третиране. По аналогичен начин са уредени и правата на граждани, осигурени в държави извън ЕС, с които Република България има сключени, обнародвани и влезли в сила международни договори за социално осигуряване, включващи в обхвата си здравно осигуряване. Разпоредбите изискват да се спазва равно третиране на българските здравноосигурени лица, осигурени в държавите от ЕС и в държавите, с които Република България има сключени, обнародвани и влезли в сила международни договори за социално осигуряване, включващи в обхвата си здравно осигуряване.</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Със средствата от </w:t>
      </w:r>
      <w:r w:rsidR="00893439" w:rsidRPr="00CE440F">
        <w:rPr>
          <w:rFonts w:ascii="Times New Roman" w:eastAsia="Times New Roman" w:hAnsi="Times New Roman" w:cs="Times New Roman"/>
          <w:sz w:val="24"/>
          <w:szCs w:val="24"/>
        </w:rPr>
        <w:t>85,0</w:t>
      </w:r>
      <w:r w:rsidRPr="00CE440F">
        <w:rPr>
          <w:rFonts w:ascii="Times New Roman" w:eastAsia="Times New Roman" w:hAnsi="Times New Roman" w:cs="Times New Roman"/>
          <w:sz w:val="24"/>
          <w:szCs w:val="24"/>
        </w:rPr>
        <w:t> млн. лв. в проекта на закона за бюджета за 20</w:t>
      </w:r>
      <w:r w:rsidR="00446618" w:rsidRPr="00CE440F">
        <w:rPr>
          <w:rFonts w:ascii="Times New Roman" w:eastAsia="Times New Roman" w:hAnsi="Times New Roman" w:cs="Times New Roman"/>
          <w:sz w:val="24"/>
          <w:szCs w:val="24"/>
        </w:rPr>
        <w:t>2</w:t>
      </w:r>
      <w:r w:rsidR="008A0B4C"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се цели намаляване на задълженията към другите държави по реда на правилата за координация на системите за социална сигурност.</w:t>
      </w:r>
    </w:p>
    <w:p w:rsidR="002262FA" w:rsidRPr="00CE440F" w:rsidRDefault="002262FA" w:rsidP="00DC1E52">
      <w:pPr>
        <w:pStyle w:val="ListParagraph"/>
        <w:keepNext/>
        <w:spacing w:before="60" w:after="0" w:line="300" w:lineRule="atLeast"/>
        <w:ind w:left="1068"/>
        <w:jc w:val="both"/>
        <w:rPr>
          <w:rFonts w:ascii="Times New Roman" w:eastAsia="Times New Roman" w:hAnsi="Times New Roman" w:cs="Times New Roman"/>
          <w:sz w:val="24"/>
          <w:szCs w:val="24"/>
        </w:rPr>
      </w:pP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1.1.4 Плащания от трансфери и целеви субсидии от МЗ</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През 20</w:t>
      </w:r>
      <w:r w:rsidR="00A51D9A" w:rsidRPr="00CE440F">
        <w:rPr>
          <w:rFonts w:ascii="Times New Roman" w:eastAsia="Times New Roman" w:hAnsi="Times New Roman" w:cs="Times New Roman"/>
          <w:sz w:val="24"/>
          <w:szCs w:val="24"/>
        </w:rPr>
        <w:t>2</w:t>
      </w:r>
      <w:r w:rsidR="003E04CF"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се предвижда МЗ ежемесечно да предоставя трансфер към бюджета на НЗОК, в общ годишен размер от </w:t>
      </w:r>
      <w:r w:rsidR="00A51D9A" w:rsidRPr="00CE440F">
        <w:rPr>
          <w:rFonts w:ascii="Times New Roman" w:eastAsia="Times New Roman" w:hAnsi="Times New Roman" w:cs="Times New Roman"/>
          <w:b/>
          <w:sz w:val="24"/>
          <w:szCs w:val="24"/>
        </w:rPr>
        <w:t>8</w:t>
      </w:r>
      <w:r w:rsidRPr="00CE440F">
        <w:rPr>
          <w:rFonts w:ascii="Times New Roman" w:eastAsia="Times New Roman" w:hAnsi="Times New Roman" w:cs="Times New Roman"/>
          <w:b/>
          <w:sz w:val="24"/>
          <w:szCs w:val="24"/>
        </w:rPr>
        <w:t>3</w:t>
      </w:r>
      <w:r w:rsidR="00B046A7" w:rsidRPr="00CE440F">
        <w:rPr>
          <w:rFonts w:ascii="Times New Roman" w:eastAsia="Times New Roman" w:hAnsi="Times New Roman" w:cs="Times New Roman"/>
          <w:b/>
          <w:sz w:val="24"/>
          <w:szCs w:val="24"/>
        </w:rPr>
        <w:t> </w:t>
      </w:r>
      <w:r w:rsidR="00A51D9A" w:rsidRPr="00CE440F">
        <w:rPr>
          <w:rFonts w:ascii="Times New Roman" w:eastAsia="Times New Roman" w:hAnsi="Times New Roman" w:cs="Times New Roman"/>
          <w:b/>
          <w:sz w:val="24"/>
          <w:szCs w:val="24"/>
        </w:rPr>
        <w:t>4</w:t>
      </w:r>
      <w:r w:rsidR="00B046A7" w:rsidRPr="00CE440F">
        <w:rPr>
          <w:rFonts w:ascii="Times New Roman" w:eastAsia="Times New Roman" w:hAnsi="Times New Roman" w:cs="Times New Roman"/>
          <w:b/>
          <w:sz w:val="24"/>
          <w:szCs w:val="24"/>
        </w:rPr>
        <w:t xml:space="preserve">00 </w:t>
      </w:r>
      <w:r w:rsidRPr="00CE440F">
        <w:rPr>
          <w:rFonts w:ascii="Times New Roman" w:eastAsia="Times New Roman" w:hAnsi="Times New Roman" w:cs="Times New Roman"/>
          <w:b/>
          <w:sz w:val="24"/>
          <w:szCs w:val="24"/>
        </w:rPr>
        <w:t>хил. лв.,</w:t>
      </w:r>
      <w:r w:rsidRPr="00CE440F">
        <w:rPr>
          <w:rFonts w:ascii="Times New Roman" w:eastAsia="Times New Roman" w:hAnsi="Times New Roman" w:cs="Times New Roman"/>
          <w:sz w:val="24"/>
          <w:szCs w:val="24"/>
        </w:rPr>
        <w:t xml:space="preserve"> за финансиране на разходите за:</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1.1.4.1. Лекарствени продукти – ваксини и дейности по прилагането им по чл.82, ал.2, т.3 от ЗЗ – за изпълнение на Национална програма за първична профилактика на рака на маточната шийка в Република България 2017 – 2020 г., Национална програма за контрол и лечение на ротавирусните гастроентерити в Република България 2017-2021 г. и нова Национална програма за подобряване на ваксинопрофилактиката на сезонния грип 2019-2021 г. В тази връзка заложените средства са в размер на </w:t>
      </w:r>
      <w:r w:rsidR="00B046A7" w:rsidRPr="00CE440F">
        <w:rPr>
          <w:rFonts w:ascii="Times New Roman" w:eastAsia="Times New Roman" w:hAnsi="Times New Roman" w:cs="Times New Roman"/>
          <w:sz w:val="24"/>
          <w:szCs w:val="24"/>
        </w:rPr>
        <w:t xml:space="preserve">6 576 </w:t>
      </w:r>
      <w:r w:rsidRPr="00CE440F">
        <w:rPr>
          <w:rFonts w:ascii="Times New Roman" w:eastAsia="Times New Roman" w:hAnsi="Times New Roman" w:cs="Times New Roman"/>
          <w:sz w:val="24"/>
          <w:szCs w:val="24"/>
        </w:rPr>
        <w:t xml:space="preserve">хил. лв. </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1.1.4.2. Дейности за здравно неосигурени лица, включващи: интензивно лечение, комплексно диспансерно (амбулаторно) наблюдение при пациенти с психиатрични заболявания и комплексно диспансерно (амбулаторно) наблюдение при пациенти с кожно-венерически заболявания по чл. 82, ал. 1, т. 1а, 3а и 6б от ЗЗ –</w:t>
      </w:r>
      <w:r w:rsidR="00A51D9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заложени средства в размер </w:t>
      </w:r>
      <w:r w:rsidR="00B046A7" w:rsidRPr="00CE440F">
        <w:rPr>
          <w:rFonts w:ascii="Times New Roman" w:eastAsia="Times New Roman" w:hAnsi="Times New Roman" w:cs="Times New Roman"/>
          <w:sz w:val="24"/>
          <w:szCs w:val="24"/>
        </w:rPr>
        <w:t>на 2 109</w:t>
      </w:r>
      <w:r w:rsidRPr="00CE440F">
        <w:rPr>
          <w:rFonts w:ascii="Times New Roman" w:eastAsia="Times New Roman" w:hAnsi="Times New Roman" w:cs="Times New Roman"/>
          <w:sz w:val="24"/>
          <w:szCs w:val="24"/>
        </w:rPr>
        <w:t xml:space="preserve"> хил. лв. </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1.1.4.3. Дейности за здравно</w:t>
      </w:r>
      <w:r w:rsidR="00E61FA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неосигурени жени по чл.82, ал.1, т.2 от ЗЗ (здравно</w:t>
      </w:r>
      <w:r w:rsidR="00E61FA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неосигурени бременни и родилки) –</w:t>
      </w:r>
      <w:r w:rsidR="00A51D9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заложени средства в размер на </w:t>
      </w:r>
      <w:r w:rsidR="00A51D9A" w:rsidRPr="00CE440F">
        <w:rPr>
          <w:rFonts w:ascii="Times New Roman" w:eastAsia="Times New Roman" w:hAnsi="Times New Roman" w:cs="Times New Roman"/>
          <w:sz w:val="24"/>
          <w:szCs w:val="24"/>
        </w:rPr>
        <w:t>6</w:t>
      </w:r>
      <w:r w:rsidRPr="00CE440F">
        <w:rPr>
          <w:rFonts w:ascii="Times New Roman" w:eastAsia="Times New Roman" w:hAnsi="Times New Roman" w:cs="Times New Roman"/>
          <w:sz w:val="24"/>
          <w:szCs w:val="24"/>
        </w:rPr>
        <w:t> </w:t>
      </w:r>
      <w:r w:rsidR="00A51D9A" w:rsidRPr="00CE440F">
        <w:rPr>
          <w:rFonts w:ascii="Times New Roman" w:eastAsia="Times New Roman" w:hAnsi="Times New Roman" w:cs="Times New Roman"/>
          <w:sz w:val="24"/>
          <w:szCs w:val="24"/>
        </w:rPr>
        <w:t>6</w:t>
      </w:r>
      <w:r w:rsidR="00B046A7" w:rsidRPr="00CE440F">
        <w:rPr>
          <w:rFonts w:ascii="Times New Roman" w:eastAsia="Times New Roman" w:hAnsi="Times New Roman" w:cs="Times New Roman"/>
          <w:sz w:val="24"/>
          <w:szCs w:val="24"/>
        </w:rPr>
        <w:t>80</w:t>
      </w:r>
      <w:r w:rsidR="00A51D9A"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хил.</w:t>
      </w:r>
      <w:r w:rsidR="00A51D9A" w:rsidRPr="00CE440F">
        <w:rPr>
          <w:rFonts w:ascii="Times New Roman" w:eastAsia="Times New Roman" w:hAnsi="Times New Roman" w:cs="Times New Roman"/>
          <w:sz w:val="24"/>
          <w:szCs w:val="24"/>
        </w:rPr>
        <w:t> </w:t>
      </w:r>
      <w:r w:rsidRPr="00CE440F">
        <w:rPr>
          <w:rFonts w:ascii="Times New Roman" w:eastAsia="Times New Roman" w:hAnsi="Times New Roman" w:cs="Times New Roman"/>
          <w:sz w:val="24"/>
          <w:szCs w:val="24"/>
        </w:rPr>
        <w:t>лв.</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1.1.4.4. Сумите по чл.37, ал.6 от ЗЗО (доплащане на разликата на намалените потребителски такси за пенсионери) –</w:t>
      </w:r>
      <w:r w:rsidR="00A51D9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заложени средства в размер на </w:t>
      </w:r>
      <w:r w:rsidR="003E04CF" w:rsidRPr="00CE440F">
        <w:rPr>
          <w:rFonts w:ascii="Times New Roman" w:eastAsia="Times New Roman" w:hAnsi="Times New Roman" w:cs="Times New Roman"/>
          <w:sz w:val="24"/>
          <w:szCs w:val="24"/>
        </w:rPr>
        <w:t xml:space="preserve">16 035 </w:t>
      </w:r>
      <w:r w:rsidRPr="00CE440F">
        <w:rPr>
          <w:rFonts w:ascii="Times New Roman" w:eastAsia="Times New Roman" w:hAnsi="Times New Roman" w:cs="Times New Roman"/>
          <w:sz w:val="24"/>
          <w:szCs w:val="24"/>
        </w:rPr>
        <w:t xml:space="preserve">хил. лв. </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1.1.4.5. Дейности във връзка с лечение на лица до 18</w:t>
      </w:r>
      <w:r w:rsidR="00E61FAA"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годишна възраст по чл. 82, ал. 1а, 3 и 6 от ЗЗ - заложени средства в размер на </w:t>
      </w:r>
      <w:r w:rsidR="00B046A7" w:rsidRPr="00CE440F">
        <w:rPr>
          <w:rFonts w:ascii="Times New Roman" w:eastAsia="Times New Roman" w:hAnsi="Times New Roman" w:cs="Times New Roman"/>
          <w:sz w:val="24"/>
          <w:szCs w:val="24"/>
        </w:rPr>
        <w:t>12 000</w:t>
      </w:r>
      <w:r w:rsidRPr="00CE440F">
        <w:rPr>
          <w:rFonts w:ascii="Times New Roman" w:eastAsia="Times New Roman" w:hAnsi="Times New Roman" w:cs="Times New Roman"/>
          <w:sz w:val="24"/>
          <w:szCs w:val="24"/>
        </w:rPr>
        <w:t xml:space="preserve"> хил. лв. </w:t>
      </w:r>
    </w:p>
    <w:p w:rsidR="00CC062A" w:rsidRPr="00CE440F" w:rsidRDefault="00CC062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1.1.4.6. Дейности във връзка с лечение на лица над 18</w:t>
      </w:r>
      <w:r w:rsidR="00E61FAA"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годишна възраст по чл.82, ал.1а и 6 от ЗЗ - заложени средства в размер на </w:t>
      </w:r>
      <w:r w:rsidR="00B046A7" w:rsidRPr="00CE440F">
        <w:rPr>
          <w:rFonts w:ascii="Times New Roman" w:eastAsia="Times New Roman" w:hAnsi="Times New Roman" w:cs="Times New Roman"/>
          <w:sz w:val="24"/>
          <w:szCs w:val="24"/>
        </w:rPr>
        <w:t>2 000</w:t>
      </w:r>
      <w:r w:rsidRPr="00CE440F">
        <w:rPr>
          <w:rFonts w:ascii="Times New Roman" w:eastAsia="Times New Roman" w:hAnsi="Times New Roman" w:cs="Times New Roman"/>
          <w:sz w:val="24"/>
          <w:szCs w:val="24"/>
        </w:rPr>
        <w:t xml:space="preserve"> хил. лв. </w:t>
      </w:r>
    </w:p>
    <w:p w:rsidR="00D95B5A" w:rsidRPr="00CE440F" w:rsidRDefault="00D95B5A" w:rsidP="00DC1E52">
      <w:pPr>
        <w:tabs>
          <w:tab w:val="left" w:pos="284"/>
        </w:tabs>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1.1.4.7.</w:t>
      </w:r>
      <w:r w:rsidR="00061A00" w:rsidRPr="00CE440F">
        <w:rPr>
          <w:rFonts w:ascii="Times New Roman" w:eastAsia="Times New Roman" w:hAnsi="Times New Roman" w:cs="Times New Roman"/>
          <w:sz w:val="24"/>
          <w:szCs w:val="24"/>
        </w:rPr>
        <w:t xml:space="preserve"> </w:t>
      </w:r>
      <w:r w:rsidR="00255B39" w:rsidRPr="00CE440F">
        <w:rPr>
          <w:rFonts w:ascii="Times New Roman" w:hAnsi="Times New Roman"/>
          <w:sz w:val="24"/>
          <w:szCs w:val="24"/>
        </w:rPr>
        <w:t>Медицински изделия, помощни средства, приспособления и съоръжения за хората с увреждания извън обхвата на задължителното здравно осигуряване</w:t>
      </w:r>
      <w:r w:rsidR="006E288F" w:rsidRPr="00CE440F">
        <w:rPr>
          <w:rFonts w:ascii="Times New Roman" w:eastAsia="Times New Roman" w:hAnsi="Times New Roman" w:cs="Times New Roman"/>
          <w:sz w:val="24"/>
          <w:szCs w:val="24"/>
        </w:rPr>
        <w:t xml:space="preserve"> - заложени средства в размер на </w:t>
      </w:r>
      <w:r w:rsidR="00B046A7" w:rsidRPr="00CE440F">
        <w:rPr>
          <w:rFonts w:ascii="Times New Roman" w:eastAsia="Times New Roman" w:hAnsi="Times New Roman" w:cs="Times New Roman"/>
          <w:sz w:val="24"/>
          <w:szCs w:val="24"/>
        </w:rPr>
        <w:t>38 000</w:t>
      </w:r>
      <w:r w:rsidR="006E288F" w:rsidRPr="00CE440F">
        <w:rPr>
          <w:rFonts w:ascii="Times New Roman" w:eastAsia="Times New Roman" w:hAnsi="Times New Roman" w:cs="Times New Roman"/>
          <w:sz w:val="24"/>
          <w:szCs w:val="24"/>
        </w:rPr>
        <w:t xml:space="preserve"> хил. лв.</w:t>
      </w:r>
    </w:p>
    <w:p w:rsidR="00A974DD" w:rsidRPr="00CE440F" w:rsidRDefault="00A974DD" w:rsidP="00DC1E52">
      <w:pPr>
        <w:keepNext/>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Разширяването на дейностите на НЗОК в обхвата на медицинските изделия ще бъде подчинено на стриктно придържане към нормите на Закона за публичните финанси и спазване на бюджетната дисциплина, както и със стремежа на НЗОК да осигури достъп на повече здравноосигурени лица до необходимите им, съобразно здравословното им състояние медицински изделия. Въвеждат се в хода на договарянето на медицинските изделия изисквания за контрол върху качеството им с доказани приложения и ефекти в други европейски държави. Едновременно с това ще се прилагат мерки за гарантиране на стабилност на бюджетните разходи за медицински изделия, чрез които да не се допуска увеличаване им спрямо предварително направените разчети. Чрез тези мерки ще се постигне разпределяне на тежестта от прилагането им върху всички участващи търговци на едро, сключили договор с НЗОК за доставка и разпространение на медицински изделия от определена група или подгрупа медицински изделия, без да се ограничава достъпа до лечение на здравноосигурените лица.</w:t>
      </w:r>
    </w:p>
    <w:p w:rsidR="00CC062A" w:rsidRPr="00CE440F" w:rsidRDefault="00CC062A" w:rsidP="00DC1E52">
      <w:pPr>
        <w:keepNext/>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1.2. Придобиване на нефинансови активи</w:t>
      </w:r>
    </w:p>
    <w:p w:rsidR="00167550"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sz w:val="24"/>
          <w:szCs w:val="24"/>
        </w:rPr>
        <w:t xml:space="preserve">Средствата за придобиване на нефинансови активи са в размер на </w:t>
      </w:r>
      <w:r w:rsidR="0031550F" w:rsidRPr="00CE440F">
        <w:rPr>
          <w:rFonts w:ascii="Times New Roman" w:eastAsia="Times New Roman" w:hAnsi="Times New Roman" w:cs="Times New Roman"/>
          <w:b/>
          <w:sz w:val="24"/>
          <w:szCs w:val="24"/>
        </w:rPr>
        <w:t>5</w:t>
      </w:r>
      <w:r w:rsidRPr="00CE440F">
        <w:rPr>
          <w:rFonts w:ascii="Times New Roman" w:eastAsia="Times New Roman" w:hAnsi="Times New Roman" w:cs="Times New Roman"/>
          <w:b/>
          <w:sz w:val="24"/>
          <w:szCs w:val="24"/>
        </w:rPr>
        <w:t xml:space="preserve"> 000,0 хил. лв. </w:t>
      </w:r>
    </w:p>
    <w:p w:rsidR="008C4F7D" w:rsidRPr="00CE440F" w:rsidRDefault="00CC062A"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През 20</w:t>
      </w:r>
      <w:r w:rsidR="001B0A5C" w:rsidRPr="00CE440F">
        <w:rPr>
          <w:rFonts w:ascii="Times New Roman" w:eastAsia="Times New Roman" w:hAnsi="Times New Roman" w:cs="Times New Roman"/>
          <w:sz w:val="24"/>
          <w:szCs w:val="24"/>
        </w:rPr>
        <w:t>2</w:t>
      </w:r>
      <w:r w:rsidR="00210330"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w:t>
      </w:r>
      <w:r w:rsidR="008C4F7D" w:rsidRPr="00CE440F">
        <w:rPr>
          <w:rFonts w:ascii="Times New Roman" w:eastAsia="Times New Roman" w:hAnsi="Times New Roman" w:cs="Times New Roman"/>
          <w:sz w:val="24"/>
          <w:szCs w:val="24"/>
        </w:rPr>
        <w:t>са планирани</w:t>
      </w:r>
      <w:r w:rsidRPr="00CE440F">
        <w:rPr>
          <w:rFonts w:ascii="Times New Roman" w:eastAsia="Times New Roman" w:hAnsi="Times New Roman" w:cs="Times New Roman"/>
          <w:sz w:val="24"/>
          <w:szCs w:val="24"/>
        </w:rPr>
        <w:t xml:space="preserve"> средства</w:t>
      </w:r>
      <w:r w:rsidR="00167550" w:rsidRPr="00CE440F">
        <w:rPr>
          <w:rFonts w:ascii="Times New Roman" w:eastAsia="Times New Roman" w:hAnsi="Times New Roman" w:cs="Times New Roman"/>
          <w:sz w:val="24"/>
          <w:szCs w:val="24"/>
        </w:rPr>
        <w:t xml:space="preserve"> </w:t>
      </w:r>
      <w:r w:rsidR="005E2EB3" w:rsidRPr="00CE440F">
        <w:rPr>
          <w:rFonts w:ascii="Times New Roman" w:eastAsia="Times New Roman" w:hAnsi="Times New Roman" w:cs="Times New Roman"/>
          <w:sz w:val="24"/>
          <w:szCs w:val="24"/>
        </w:rPr>
        <w:t xml:space="preserve"> за</w:t>
      </w:r>
      <w:r w:rsidRPr="00CE440F">
        <w:rPr>
          <w:rFonts w:ascii="Times New Roman" w:eastAsia="Times New Roman" w:hAnsi="Times New Roman" w:cs="Times New Roman"/>
          <w:sz w:val="24"/>
          <w:szCs w:val="24"/>
        </w:rPr>
        <w:t xml:space="preserve"> капиталови разходи </w:t>
      </w:r>
      <w:r w:rsidR="005E2EB3" w:rsidRPr="00CE440F">
        <w:rPr>
          <w:rFonts w:ascii="Times New Roman" w:eastAsia="Times New Roman" w:hAnsi="Times New Roman" w:cs="Times New Roman"/>
          <w:sz w:val="24"/>
          <w:szCs w:val="24"/>
        </w:rPr>
        <w:t>на НЗОК,</w:t>
      </w:r>
      <w:r w:rsidR="00167550" w:rsidRPr="00CE440F">
        <w:rPr>
          <w:rFonts w:ascii="Times New Roman" w:eastAsia="Times New Roman" w:hAnsi="Times New Roman" w:cs="Times New Roman"/>
          <w:sz w:val="24"/>
          <w:szCs w:val="24"/>
        </w:rPr>
        <w:t xml:space="preserve"> с които да се обезпечат </w:t>
      </w:r>
      <w:r w:rsidR="005E2EB3" w:rsidRPr="00CE440F">
        <w:rPr>
          <w:rFonts w:ascii="Times New Roman" w:eastAsia="Times New Roman" w:hAnsi="Times New Roman" w:cs="Times New Roman"/>
          <w:sz w:val="24"/>
          <w:szCs w:val="24"/>
        </w:rPr>
        <w:t>проекти</w:t>
      </w:r>
      <w:r w:rsidR="00E61FAA" w:rsidRPr="00CE440F">
        <w:rPr>
          <w:rFonts w:ascii="Times New Roman" w:eastAsia="Times New Roman" w:hAnsi="Times New Roman" w:cs="Times New Roman"/>
          <w:sz w:val="24"/>
          <w:szCs w:val="24"/>
        </w:rPr>
        <w:t>,</w:t>
      </w:r>
      <w:r w:rsidR="005E2EB3" w:rsidRPr="00CE440F">
        <w:rPr>
          <w:rFonts w:ascii="Times New Roman" w:eastAsia="Times New Roman" w:hAnsi="Times New Roman" w:cs="Times New Roman"/>
          <w:sz w:val="24"/>
          <w:szCs w:val="24"/>
        </w:rPr>
        <w:t xml:space="preserve"> </w:t>
      </w:r>
      <w:r w:rsidR="00167550" w:rsidRPr="00CE440F">
        <w:rPr>
          <w:rFonts w:ascii="Times New Roman" w:eastAsia="Times New Roman" w:hAnsi="Times New Roman" w:cs="Times New Roman"/>
          <w:sz w:val="24"/>
          <w:szCs w:val="24"/>
        </w:rPr>
        <w:t xml:space="preserve">необходими за функциониране на административната дейност на НЗОК: </w:t>
      </w:r>
      <w:r w:rsidR="005E2EB3" w:rsidRPr="00CE440F">
        <w:rPr>
          <w:rFonts w:ascii="Times New Roman" w:eastAsia="Times New Roman" w:hAnsi="Times New Roman" w:cs="Times New Roman"/>
          <w:sz w:val="24"/>
          <w:szCs w:val="24"/>
        </w:rPr>
        <w:t>за основни ремонти и придобиване на материални и нематериални дълготрайни активи, доставка на хардуерно и комуникационно оборудване</w:t>
      </w:r>
      <w:r w:rsidR="00167550" w:rsidRPr="00CE440F">
        <w:rPr>
          <w:rFonts w:ascii="Times New Roman" w:eastAsia="Times New Roman" w:hAnsi="Times New Roman" w:cs="Times New Roman"/>
          <w:sz w:val="24"/>
          <w:szCs w:val="24"/>
        </w:rPr>
        <w:t>,</w:t>
      </w:r>
      <w:r w:rsidR="005E2EB3" w:rsidRPr="00CE440F">
        <w:rPr>
          <w:rFonts w:ascii="Times New Roman" w:eastAsia="Times New Roman" w:hAnsi="Times New Roman" w:cs="Times New Roman"/>
          <w:sz w:val="24"/>
          <w:szCs w:val="24"/>
        </w:rPr>
        <w:t xml:space="preserve"> </w:t>
      </w:r>
      <w:r w:rsidR="00167550" w:rsidRPr="00CE440F">
        <w:rPr>
          <w:rFonts w:ascii="Times New Roman" w:eastAsia="Times New Roman" w:hAnsi="Times New Roman" w:cs="Times New Roman"/>
          <w:sz w:val="24"/>
          <w:szCs w:val="24"/>
        </w:rPr>
        <w:t>доставка на п</w:t>
      </w:r>
      <w:r w:rsidR="006F72B3" w:rsidRPr="00CE440F">
        <w:rPr>
          <w:rFonts w:ascii="Times New Roman" w:eastAsia="Times New Roman" w:hAnsi="Times New Roman" w:cs="Times New Roman"/>
          <w:sz w:val="24"/>
          <w:szCs w:val="24"/>
        </w:rPr>
        <w:t>рограмни продукти и лицензи</w:t>
      </w:r>
      <w:r w:rsidR="00167550" w:rsidRPr="00CE440F">
        <w:rPr>
          <w:rFonts w:ascii="Times New Roman" w:eastAsia="Times New Roman" w:hAnsi="Times New Roman" w:cs="Times New Roman"/>
          <w:sz w:val="24"/>
          <w:szCs w:val="24"/>
        </w:rPr>
        <w:t>, и</w:t>
      </w:r>
      <w:r w:rsidR="008C4F7D" w:rsidRPr="00CE440F">
        <w:rPr>
          <w:rFonts w:ascii="Times New Roman" w:eastAsia="Times New Roman" w:hAnsi="Times New Roman" w:cs="Times New Roman"/>
          <w:sz w:val="24"/>
          <w:szCs w:val="24"/>
        </w:rPr>
        <w:t>знесени дейности по управление н</w:t>
      </w:r>
      <w:r w:rsidR="00167550" w:rsidRPr="00CE440F">
        <w:rPr>
          <w:rFonts w:ascii="Times New Roman" w:eastAsia="Times New Roman" w:hAnsi="Times New Roman" w:cs="Times New Roman"/>
          <w:sz w:val="24"/>
          <w:szCs w:val="24"/>
        </w:rPr>
        <w:t>а информационните технологии и услуги в системата на НЗОК.</w:t>
      </w:r>
    </w:p>
    <w:p w:rsidR="00167550" w:rsidRPr="00CE440F" w:rsidRDefault="00167550" w:rsidP="00DC1E52">
      <w:pPr>
        <w:spacing w:before="60" w:after="0" w:line="300" w:lineRule="atLeast"/>
        <w:ind w:firstLine="709"/>
        <w:jc w:val="both"/>
        <w:rPr>
          <w:rFonts w:ascii="Times New Roman" w:eastAsia="Times New Roman" w:hAnsi="Times New Roman" w:cs="Times New Roman"/>
          <w:sz w:val="24"/>
          <w:szCs w:val="24"/>
        </w:rPr>
      </w:pPr>
    </w:p>
    <w:p w:rsidR="00CC062A" w:rsidRPr="00CE440F" w:rsidRDefault="00CC062A" w:rsidP="00DC1E52">
      <w:pPr>
        <w:spacing w:before="60" w:after="0" w:line="300" w:lineRule="atLeast"/>
        <w:ind w:firstLine="709"/>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1.3. Резерв, включително за непредвидени и неотложни разходи</w:t>
      </w:r>
    </w:p>
    <w:p w:rsidR="00CC062A" w:rsidRPr="00CE440F" w:rsidRDefault="00167550" w:rsidP="00DC1E52">
      <w:pPr>
        <w:spacing w:before="60" w:after="0" w:line="300" w:lineRule="atLeast"/>
        <w:ind w:firstLine="709"/>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В</w:t>
      </w:r>
      <w:r w:rsidR="00CC062A" w:rsidRPr="00CE440F">
        <w:rPr>
          <w:rFonts w:ascii="Times New Roman" w:eastAsia="Times New Roman" w:hAnsi="Times New Roman" w:cs="Times New Roman"/>
          <w:sz w:val="24"/>
          <w:szCs w:val="24"/>
        </w:rPr>
        <w:t xml:space="preserve"> проекта</w:t>
      </w:r>
      <w:r w:rsidRPr="00CE440F">
        <w:rPr>
          <w:rFonts w:ascii="Times New Roman" w:eastAsia="Times New Roman" w:hAnsi="Times New Roman" w:cs="Times New Roman"/>
          <w:sz w:val="24"/>
          <w:szCs w:val="24"/>
        </w:rPr>
        <w:t xml:space="preserve"> на ЗБНЗОК за 202</w:t>
      </w:r>
      <w:r w:rsidR="00210330" w:rsidRPr="00CE440F">
        <w:rPr>
          <w:rFonts w:ascii="Times New Roman" w:eastAsia="Times New Roman" w:hAnsi="Times New Roman" w:cs="Times New Roman"/>
          <w:sz w:val="24"/>
          <w:szCs w:val="24"/>
        </w:rPr>
        <w:t xml:space="preserve">1 </w:t>
      </w:r>
      <w:r w:rsidRPr="00CE440F">
        <w:rPr>
          <w:rFonts w:ascii="Times New Roman" w:eastAsia="Times New Roman" w:hAnsi="Times New Roman" w:cs="Times New Roman"/>
          <w:sz w:val="24"/>
          <w:szCs w:val="24"/>
        </w:rPr>
        <w:t>г.</w:t>
      </w:r>
      <w:r w:rsidR="00CC062A"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е заложен </w:t>
      </w:r>
      <w:r w:rsidR="00CC062A" w:rsidRPr="00CE440F">
        <w:rPr>
          <w:rFonts w:ascii="Times New Roman" w:eastAsia="Times New Roman" w:hAnsi="Times New Roman" w:cs="Times New Roman"/>
          <w:sz w:val="24"/>
          <w:szCs w:val="24"/>
        </w:rPr>
        <w:t xml:space="preserve">резерв в размер на </w:t>
      </w:r>
      <w:r w:rsidR="00210330" w:rsidRPr="00CE440F">
        <w:rPr>
          <w:rFonts w:ascii="Times New Roman" w:eastAsia="Times New Roman" w:hAnsi="Times New Roman" w:cs="Times New Roman"/>
          <w:b/>
          <w:sz w:val="24"/>
          <w:szCs w:val="24"/>
        </w:rPr>
        <w:t>14</w:t>
      </w:r>
      <w:r w:rsidR="00F616C6" w:rsidRPr="00CE440F">
        <w:rPr>
          <w:rFonts w:ascii="Times New Roman" w:eastAsia="Times New Roman" w:hAnsi="Times New Roman" w:cs="Times New Roman"/>
          <w:b/>
          <w:sz w:val="24"/>
          <w:szCs w:val="24"/>
        </w:rPr>
        <w:t>9</w:t>
      </w:r>
      <w:r w:rsidR="00210330" w:rsidRPr="00CE440F">
        <w:rPr>
          <w:rFonts w:ascii="Times New Roman" w:eastAsia="Times New Roman" w:hAnsi="Times New Roman" w:cs="Times New Roman"/>
          <w:b/>
          <w:sz w:val="24"/>
          <w:szCs w:val="24"/>
        </w:rPr>
        <w:t> </w:t>
      </w:r>
      <w:r w:rsidR="00D50991" w:rsidRPr="00CE440F">
        <w:rPr>
          <w:rFonts w:ascii="Times New Roman" w:eastAsia="Times New Roman" w:hAnsi="Times New Roman" w:cs="Times New Roman"/>
          <w:b/>
          <w:sz w:val="24"/>
          <w:szCs w:val="24"/>
        </w:rPr>
        <w:t>429</w:t>
      </w:r>
      <w:r w:rsidR="00F616C6" w:rsidRPr="00CE440F">
        <w:rPr>
          <w:rFonts w:ascii="Times New Roman" w:eastAsia="Times New Roman" w:hAnsi="Times New Roman" w:cs="Times New Roman"/>
          <w:b/>
          <w:sz w:val="24"/>
          <w:szCs w:val="24"/>
        </w:rPr>
        <w:t>,2</w:t>
      </w:r>
      <w:r w:rsidR="00210330" w:rsidRPr="00CE440F">
        <w:rPr>
          <w:rFonts w:ascii="Times New Roman" w:eastAsia="Times New Roman" w:hAnsi="Times New Roman" w:cs="Times New Roman"/>
          <w:b/>
          <w:sz w:val="24"/>
          <w:szCs w:val="24"/>
        </w:rPr>
        <w:t xml:space="preserve"> </w:t>
      </w:r>
      <w:r w:rsidR="00CC062A" w:rsidRPr="00CE440F">
        <w:rPr>
          <w:rFonts w:ascii="Times New Roman" w:eastAsia="Times New Roman" w:hAnsi="Times New Roman" w:cs="Times New Roman"/>
          <w:b/>
          <w:sz w:val="24"/>
          <w:szCs w:val="24"/>
        </w:rPr>
        <w:t>хил. лв.,</w:t>
      </w:r>
      <w:r w:rsidR="00CC062A" w:rsidRPr="00CE440F">
        <w:rPr>
          <w:rFonts w:ascii="Times New Roman" w:eastAsia="Times New Roman" w:hAnsi="Times New Roman" w:cs="Times New Roman"/>
          <w:sz w:val="24"/>
          <w:szCs w:val="24"/>
        </w:rPr>
        <w:t xml:space="preserve"> което представлява три на сто от сумата на приходите от здравноосигурителни вноски и трансферите за здравно осигуряване. В хода на 20</w:t>
      </w:r>
      <w:r w:rsidR="001B0A5C" w:rsidRPr="00CE440F">
        <w:rPr>
          <w:rFonts w:ascii="Times New Roman" w:eastAsia="Times New Roman" w:hAnsi="Times New Roman" w:cs="Times New Roman"/>
          <w:sz w:val="24"/>
          <w:szCs w:val="24"/>
        </w:rPr>
        <w:t>2</w:t>
      </w:r>
      <w:r w:rsidR="00C91582" w:rsidRPr="00CE440F">
        <w:rPr>
          <w:rFonts w:ascii="Times New Roman" w:eastAsia="Times New Roman" w:hAnsi="Times New Roman" w:cs="Times New Roman"/>
          <w:sz w:val="24"/>
          <w:szCs w:val="24"/>
        </w:rPr>
        <w:t>1</w:t>
      </w:r>
      <w:r w:rsidR="00CC062A" w:rsidRPr="00CE440F">
        <w:rPr>
          <w:rFonts w:ascii="Times New Roman" w:eastAsia="Times New Roman" w:hAnsi="Times New Roman" w:cs="Times New Roman"/>
          <w:sz w:val="24"/>
          <w:szCs w:val="24"/>
        </w:rPr>
        <w:t xml:space="preserve"> г. с </w:t>
      </w:r>
      <w:r w:rsidRPr="00CE440F">
        <w:rPr>
          <w:rFonts w:ascii="Times New Roman" w:eastAsia="Times New Roman" w:hAnsi="Times New Roman" w:cs="Times New Roman"/>
          <w:sz w:val="24"/>
          <w:szCs w:val="24"/>
        </w:rPr>
        <w:t xml:space="preserve">тези средства </w:t>
      </w:r>
      <w:r w:rsidR="00CC062A" w:rsidRPr="00CE440F">
        <w:rPr>
          <w:rFonts w:ascii="Times New Roman" w:eastAsia="Times New Roman" w:hAnsi="Times New Roman" w:cs="Times New Roman"/>
          <w:sz w:val="24"/>
          <w:szCs w:val="24"/>
        </w:rPr>
        <w:t xml:space="preserve">се </w:t>
      </w:r>
      <w:r w:rsidR="0021777A" w:rsidRPr="00CE440F">
        <w:rPr>
          <w:rFonts w:ascii="Times New Roman" w:eastAsia="Times New Roman" w:hAnsi="Times New Roman" w:cs="Times New Roman"/>
          <w:sz w:val="24"/>
          <w:szCs w:val="24"/>
        </w:rPr>
        <w:t xml:space="preserve"> предвижда </w:t>
      </w:r>
      <w:r w:rsidRPr="00CE440F">
        <w:rPr>
          <w:rFonts w:ascii="Times New Roman" w:eastAsia="Times New Roman" w:hAnsi="Times New Roman" w:cs="Times New Roman"/>
          <w:sz w:val="24"/>
          <w:szCs w:val="24"/>
        </w:rPr>
        <w:t xml:space="preserve">да се </w:t>
      </w:r>
      <w:r w:rsidR="00CC062A" w:rsidRPr="00CE440F">
        <w:rPr>
          <w:rFonts w:ascii="Times New Roman" w:eastAsia="Times New Roman" w:hAnsi="Times New Roman" w:cs="Times New Roman"/>
          <w:sz w:val="24"/>
          <w:szCs w:val="24"/>
        </w:rPr>
        <w:t>гарантира устойчивост и ритмичност на здравноосигурителните плащания.</w:t>
      </w:r>
    </w:p>
    <w:p w:rsidR="007F5810" w:rsidRPr="00CE440F" w:rsidRDefault="007F5810" w:rsidP="00DC1E52">
      <w:pPr>
        <w:spacing w:before="60" w:after="0" w:line="300" w:lineRule="atLeast"/>
        <w:ind w:firstLine="709"/>
        <w:jc w:val="both"/>
        <w:rPr>
          <w:rFonts w:ascii="Times New Roman" w:eastAsia="Times New Roman" w:hAnsi="Times New Roman" w:cs="Times New Roman"/>
          <w:sz w:val="24"/>
          <w:szCs w:val="24"/>
        </w:rPr>
      </w:pPr>
    </w:p>
    <w:p w:rsidR="00CC062A" w:rsidRPr="00CE440F" w:rsidRDefault="00CC062A" w:rsidP="00DC1E52">
      <w:pPr>
        <w:keepNext/>
        <w:spacing w:before="60" w:after="0" w:line="300" w:lineRule="atLeast"/>
        <w:ind w:firstLine="709"/>
        <w:jc w:val="both"/>
        <w:rPr>
          <w:rFonts w:ascii="Calibri" w:eastAsia="Times New Roman" w:hAnsi="Calibri" w:cs="Times New Roman"/>
          <w:b/>
          <w:smallCaps/>
          <w:sz w:val="24"/>
          <w:szCs w:val="24"/>
        </w:rPr>
      </w:pPr>
      <w:r w:rsidRPr="00CE440F">
        <w:rPr>
          <w:rFonts w:ascii="Times New Roman" w:eastAsia="Times New Roman" w:hAnsi="Times New Roman" w:cs="Times New Roman"/>
          <w:b/>
          <w:sz w:val="24"/>
          <w:szCs w:val="24"/>
        </w:rPr>
        <w:t>III.</w:t>
      </w:r>
      <w:r w:rsidRPr="00CE440F">
        <w:rPr>
          <w:rFonts w:ascii="Calibri" w:eastAsia="Times New Roman" w:hAnsi="Calibri" w:cs="Times New Roman"/>
          <w:b/>
          <w:smallCaps/>
          <w:sz w:val="24"/>
          <w:szCs w:val="24"/>
        </w:rPr>
        <w:t xml:space="preserve"> </w:t>
      </w:r>
      <w:r w:rsidRPr="00CE440F">
        <w:rPr>
          <w:rFonts w:ascii="Times New Roman Bold" w:eastAsia="Times New Roman" w:hAnsi="Times New Roman Bold" w:cs="Times New Roman"/>
          <w:b/>
          <w:smallCaps/>
          <w:sz w:val="24"/>
          <w:szCs w:val="24"/>
        </w:rPr>
        <w:t>Предоставени трансфери на Националната агенция за приходите по чл.</w:t>
      </w:r>
      <w:r w:rsidRPr="00CE440F">
        <w:rPr>
          <w:rFonts w:ascii="Calibri" w:eastAsia="Times New Roman" w:hAnsi="Calibri" w:cs="Times New Roman"/>
          <w:b/>
          <w:smallCaps/>
          <w:sz w:val="24"/>
          <w:szCs w:val="24"/>
        </w:rPr>
        <w:t> </w:t>
      </w:r>
      <w:r w:rsidRPr="00CE440F">
        <w:rPr>
          <w:rFonts w:ascii="Times New Roman Bold" w:eastAsia="Times New Roman" w:hAnsi="Times New Roman Bold" w:cs="Times New Roman"/>
          <w:b/>
          <w:smallCaps/>
          <w:sz w:val="24"/>
          <w:szCs w:val="24"/>
        </w:rPr>
        <w:t>24, т.</w:t>
      </w:r>
      <w:r w:rsidRPr="00CE440F">
        <w:rPr>
          <w:rFonts w:ascii="Calibri" w:eastAsia="Times New Roman" w:hAnsi="Calibri" w:cs="Times New Roman"/>
          <w:b/>
          <w:smallCaps/>
          <w:sz w:val="24"/>
          <w:szCs w:val="24"/>
        </w:rPr>
        <w:t> </w:t>
      </w:r>
      <w:r w:rsidRPr="00CE440F">
        <w:rPr>
          <w:rFonts w:ascii="Times New Roman Bold" w:eastAsia="Times New Roman" w:hAnsi="Times New Roman Bold" w:cs="Times New Roman"/>
          <w:b/>
          <w:smallCaps/>
          <w:sz w:val="24"/>
          <w:szCs w:val="24"/>
        </w:rPr>
        <w:t>6</w:t>
      </w:r>
      <w:r w:rsidRPr="00CE440F">
        <w:rPr>
          <w:rFonts w:ascii="Calibri" w:eastAsia="Times New Roman" w:hAnsi="Calibri" w:cs="Times New Roman"/>
          <w:b/>
          <w:smallCaps/>
          <w:sz w:val="24"/>
          <w:szCs w:val="24"/>
        </w:rPr>
        <w:t xml:space="preserve"> </w:t>
      </w:r>
      <w:r w:rsidRPr="00CE440F">
        <w:rPr>
          <w:rFonts w:ascii="Times New Roman Bold" w:eastAsia="Times New Roman" w:hAnsi="Times New Roman Bold" w:cs="Times New Roman"/>
          <w:b/>
          <w:smallCaps/>
          <w:sz w:val="24"/>
          <w:szCs w:val="24"/>
        </w:rPr>
        <w:t>от ЗЗО и към бюджетни организации, сключили договори за извършване на медицински услуги с НЗОК</w:t>
      </w:r>
    </w:p>
    <w:p w:rsidR="00CC062A" w:rsidRPr="00CE440F" w:rsidRDefault="00CC062A" w:rsidP="00DC1E52">
      <w:pPr>
        <w:spacing w:before="60" w:after="0" w:line="300" w:lineRule="atLeast"/>
        <w:ind w:firstLine="709"/>
        <w:jc w:val="both"/>
        <w:rPr>
          <w:rFonts w:ascii="Times New Roman" w:eastAsia="Times New Roman" w:hAnsi="Times New Roman" w:cs="Times New Roman"/>
          <w:sz w:val="24"/>
          <w:szCs w:val="24"/>
          <w:lang w:val="en-US"/>
        </w:rPr>
      </w:pPr>
      <w:r w:rsidRPr="00CE440F">
        <w:rPr>
          <w:rFonts w:ascii="Times New Roman" w:eastAsia="Times New Roman" w:hAnsi="Times New Roman" w:cs="Times New Roman"/>
          <w:sz w:val="24"/>
          <w:szCs w:val="24"/>
        </w:rPr>
        <w:t>Предоставените трансфери на НАП по проекта за 20</w:t>
      </w:r>
      <w:r w:rsidR="008331B3" w:rsidRPr="00CE440F">
        <w:rPr>
          <w:rFonts w:ascii="Times New Roman" w:eastAsia="Times New Roman" w:hAnsi="Times New Roman" w:cs="Times New Roman"/>
          <w:sz w:val="24"/>
          <w:szCs w:val="24"/>
        </w:rPr>
        <w:t>2</w:t>
      </w:r>
      <w:r w:rsidR="00C91582" w:rsidRPr="00CE440F">
        <w:rPr>
          <w:rFonts w:ascii="Times New Roman" w:eastAsia="Times New Roman" w:hAnsi="Times New Roman" w:cs="Times New Roman"/>
          <w:sz w:val="24"/>
          <w:szCs w:val="24"/>
        </w:rPr>
        <w:t>1</w:t>
      </w:r>
      <w:r w:rsidRPr="00CE440F">
        <w:rPr>
          <w:rFonts w:ascii="Times New Roman" w:eastAsia="Times New Roman" w:hAnsi="Times New Roman" w:cs="Times New Roman"/>
          <w:sz w:val="24"/>
          <w:szCs w:val="24"/>
        </w:rPr>
        <w:t xml:space="preserve"> г. са в размер на </w:t>
      </w:r>
      <w:r w:rsidRPr="00CE440F">
        <w:rPr>
          <w:rFonts w:ascii="Times New Roman" w:eastAsia="Times New Roman" w:hAnsi="Times New Roman" w:cs="Times New Roman"/>
          <w:b/>
          <w:sz w:val="24"/>
          <w:szCs w:val="24"/>
        </w:rPr>
        <w:t>5 </w:t>
      </w:r>
      <w:r w:rsidR="00F616C6" w:rsidRPr="00CE440F">
        <w:rPr>
          <w:rFonts w:ascii="Times New Roman" w:eastAsia="Times New Roman" w:hAnsi="Times New Roman" w:cs="Times New Roman"/>
          <w:b/>
          <w:sz w:val="24"/>
          <w:szCs w:val="24"/>
        </w:rPr>
        <w:t>630</w:t>
      </w:r>
      <w:r w:rsidRPr="00CE440F">
        <w:rPr>
          <w:rFonts w:ascii="Times New Roman" w:eastAsia="Times New Roman" w:hAnsi="Times New Roman" w:cs="Times New Roman"/>
          <w:b/>
          <w:sz w:val="24"/>
          <w:szCs w:val="24"/>
        </w:rPr>
        <w:t>,</w:t>
      </w:r>
      <w:r w:rsidR="00F616C6" w:rsidRPr="00CE440F">
        <w:rPr>
          <w:rFonts w:ascii="Times New Roman" w:eastAsia="Times New Roman" w:hAnsi="Times New Roman" w:cs="Times New Roman"/>
          <w:b/>
          <w:sz w:val="24"/>
          <w:szCs w:val="24"/>
        </w:rPr>
        <w:t>9</w:t>
      </w:r>
      <w:r w:rsidRPr="00CE440F">
        <w:rPr>
          <w:rFonts w:ascii="Times New Roman" w:eastAsia="Times New Roman" w:hAnsi="Times New Roman" w:cs="Times New Roman"/>
          <w:b/>
          <w:sz w:val="24"/>
          <w:szCs w:val="24"/>
        </w:rPr>
        <w:t> хил.</w:t>
      </w:r>
      <w:r w:rsidR="00185364" w:rsidRPr="00CE440F">
        <w:rPr>
          <w:rFonts w:ascii="Times New Roman" w:eastAsia="Times New Roman" w:hAnsi="Times New Roman" w:cs="Times New Roman"/>
          <w:b/>
          <w:sz w:val="24"/>
          <w:szCs w:val="24"/>
        </w:rPr>
        <w:t> </w:t>
      </w:r>
      <w:r w:rsidRPr="00CE440F">
        <w:rPr>
          <w:rFonts w:ascii="Times New Roman" w:eastAsia="Times New Roman" w:hAnsi="Times New Roman" w:cs="Times New Roman"/>
          <w:b/>
          <w:sz w:val="24"/>
          <w:szCs w:val="24"/>
        </w:rPr>
        <w:t>лв.,</w:t>
      </w:r>
      <w:r w:rsidRPr="00CE440F">
        <w:rPr>
          <w:rFonts w:ascii="Times New Roman" w:eastAsia="Times New Roman" w:hAnsi="Times New Roman" w:cs="Times New Roman"/>
          <w:sz w:val="24"/>
          <w:szCs w:val="24"/>
        </w:rPr>
        <w:t xml:space="preserve"> представляващи такса за обслужване събирането на здравноосигурителни вноски от НАП съгласно чл.24, т.6 от ЗЗО, в размер на 0,2 на сто върху набраните здравноосигурителни вноски. </w:t>
      </w:r>
    </w:p>
    <w:p w:rsidR="007F5810" w:rsidRPr="00CE440F" w:rsidRDefault="007F5810" w:rsidP="00DC1E52">
      <w:pPr>
        <w:spacing w:before="60" w:after="0" w:line="300" w:lineRule="atLeast"/>
        <w:ind w:firstLine="709"/>
        <w:jc w:val="both"/>
        <w:rPr>
          <w:rFonts w:ascii="Times New Roman" w:eastAsia="Times New Roman" w:hAnsi="Times New Roman" w:cs="Times New Roman"/>
          <w:sz w:val="24"/>
          <w:szCs w:val="24"/>
        </w:rPr>
      </w:pPr>
    </w:p>
    <w:p w:rsidR="00CC062A" w:rsidRPr="00CE440F" w:rsidRDefault="00CC062A" w:rsidP="00DC1E52">
      <w:pPr>
        <w:keepNext/>
        <w:spacing w:before="60" w:after="0" w:line="300" w:lineRule="atLeast"/>
        <w:ind w:firstLine="706"/>
        <w:jc w:val="both"/>
        <w:rPr>
          <w:rFonts w:ascii="Calibri" w:eastAsia="Times New Roman" w:hAnsi="Calibri" w:cs="Times New Roman"/>
          <w:b/>
          <w:sz w:val="24"/>
          <w:szCs w:val="24"/>
        </w:rPr>
      </w:pPr>
      <w:r w:rsidRPr="00CE440F">
        <w:rPr>
          <w:rFonts w:ascii="Times New Roman" w:eastAsia="Times New Roman" w:hAnsi="Times New Roman" w:cs="Times New Roman"/>
          <w:b/>
          <w:sz w:val="24"/>
          <w:szCs w:val="24"/>
        </w:rPr>
        <w:t xml:space="preserve">IV. </w:t>
      </w:r>
      <w:r w:rsidRPr="00CE440F">
        <w:rPr>
          <w:rFonts w:ascii="Times New Roman Bold" w:eastAsia="Times New Roman" w:hAnsi="Times New Roman Bold" w:cs="Times New Roman"/>
          <w:b/>
          <w:smallCaps/>
          <w:sz w:val="24"/>
          <w:szCs w:val="24"/>
        </w:rPr>
        <w:t>Бюджетно салдо</w:t>
      </w:r>
    </w:p>
    <w:p w:rsidR="00F642DC" w:rsidRPr="00CE440F" w:rsidRDefault="00CC062A" w:rsidP="00DC1E52">
      <w:pPr>
        <w:spacing w:before="60" w:after="0" w:line="300" w:lineRule="atLeast"/>
        <w:ind w:firstLine="567"/>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В проекта на ЗБНЗОК за 20</w:t>
      </w:r>
      <w:r w:rsidR="0095426C" w:rsidRPr="00CE440F">
        <w:rPr>
          <w:rFonts w:ascii="Times New Roman" w:eastAsia="Times New Roman" w:hAnsi="Times New Roman" w:cs="Times New Roman"/>
          <w:sz w:val="24"/>
          <w:szCs w:val="24"/>
          <w:lang w:eastAsia="bg-BG"/>
        </w:rPr>
        <w:t>2</w:t>
      </w:r>
      <w:r w:rsidR="00C91582" w:rsidRPr="00CE440F">
        <w:rPr>
          <w:rFonts w:ascii="Times New Roman" w:eastAsia="Times New Roman" w:hAnsi="Times New Roman" w:cs="Times New Roman"/>
          <w:sz w:val="24"/>
          <w:szCs w:val="24"/>
          <w:lang w:eastAsia="bg-BG"/>
        </w:rPr>
        <w:t>1</w:t>
      </w:r>
      <w:r w:rsidRPr="00CE440F">
        <w:rPr>
          <w:rFonts w:ascii="Times New Roman" w:eastAsia="Times New Roman" w:hAnsi="Times New Roman" w:cs="Times New Roman"/>
          <w:sz w:val="24"/>
          <w:szCs w:val="24"/>
          <w:lang w:eastAsia="bg-BG"/>
        </w:rPr>
        <w:t xml:space="preserve"> г. се предвижда </w:t>
      </w:r>
      <w:r w:rsidR="0095426C" w:rsidRPr="00CE440F">
        <w:rPr>
          <w:rFonts w:ascii="Times New Roman" w:eastAsia="Times New Roman" w:hAnsi="Times New Roman" w:cs="Times New Roman"/>
          <w:sz w:val="24"/>
          <w:szCs w:val="24"/>
          <w:lang w:eastAsia="bg-BG"/>
        </w:rPr>
        <w:t>балансирано</w:t>
      </w:r>
      <w:r w:rsidRPr="00CE440F">
        <w:rPr>
          <w:rFonts w:ascii="Times New Roman" w:eastAsia="Times New Roman" w:hAnsi="Times New Roman" w:cs="Times New Roman"/>
          <w:sz w:val="24"/>
          <w:szCs w:val="24"/>
          <w:lang w:eastAsia="bg-BG"/>
        </w:rPr>
        <w:t xml:space="preserve"> бюджетно салдо.</w:t>
      </w:r>
    </w:p>
    <w:p w:rsidR="00FE1896" w:rsidRPr="00CE440F" w:rsidRDefault="00FE1896" w:rsidP="00DC1E52">
      <w:pPr>
        <w:spacing w:before="60" w:after="0" w:line="300" w:lineRule="atLeast"/>
        <w:ind w:firstLine="567"/>
        <w:jc w:val="both"/>
        <w:rPr>
          <w:rFonts w:ascii="Times New Roman" w:eastAsia="Times New Roman" w:hAnsi="Times New Roman" w:cs="Times New Roman"/>
          <w:sz w:val="24"/>
          <w:szCs w:val="24"/>
          <w:lang w:val="en-US" w:eastAsia="bg-BG"/>
        </w:rPr>
      </w:pPr>
    </w:p>
    <w:p w:rsidR="00826BAD" w:rsidRPr="00CE440F" w:rsidRDefault="00FE1896" w:rsidP="00FE1896">
      <w:pPr>
        <w:keepNext/>
        <w:spacing w:before="60" w:after="0" w:line="300" w:lineRule="atLeast"/>
        <w:ind w:firstLine="706"/>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V. ПРЕХОДНИ И ЗАКЛЮЧИТЕЛНИ РАЗПОРЕДБИ</w:t>
      </w:r>
    </w:p>
    <w:p w:rsidR="00FE1896" w:rsidRPr="00CE440F" w:rsidRDefault="00FE1896" w:rsidP="00FE1896">
      <w:pPr>
        <w:keepNext/>
        <w:spacing w:before="60" w:after="0" w:line="300" w:lineRule="atLeast"/>
        <w:ind w:firstLine="706"/>
        <w:jc w:val="both"/>
        <w:rPr>
          <w:rFonts w:ascii="Times New Roman" w:eastAsia="Times New Roman" w:hAnsi="Times New Roman" w:cs="Times New Roman"/>
          <w:b/>
          <w:sz w:val="24"/>
          <w:szCs w:val="24"/>
        </w:rPr>
      </w:pPr>
      <w:r w:rsidRPr="00CE440F">
        <w:rPr>
          <w:rFonts w:ascii="Times New Roman" w:eastAsia="Times New Roman" w:hAnsi="Times New Roman" w:cs="Times New Roman"/>
          <w:b/>
          <w:sz w:val="24"/>
          <w:szCs w:val="24"/>
        </w:rPr>
        <w:t xml:space="preserve">1. </w:t>
      </w:r>
      <w:r w:rsidR="00FE7D7A" w:rsidRPr="00CE440F">
        <w:rPr>
          <w:rFonts w:ascii="Times New Roman" w:eastAsia="Times New Roman" w:hAnsi="Times New Roman" w:cs="Times New Roman"/>
          <w:b/>
          <w:sz w:val="24"/>
          <w:szCs w:val="24"/>
        </w:rPr>
        <w:t>С</w:t>
      </w:r>
      <w:r w:rsidRPr="00CE440F">
        <w:rPr>
          <w:rFonts w:ascii="Times New Roman" w:eastAsia="Times New Roman" w:hAnsi="Times New Roman" w:cs="Times New Roman"/>
          <w:b/>
          <w:sz w:val="24"/>
          <w:szCs w:val="24"/>
        </w:rPr>
        <w:t xml:space="preserve"> § 1</w:t>
      </w:r>
      <w:r w:rsidR="007431C3" w:rsidRPr="00CE440F">
        <w:rPr>
          <w:rFonts w:ascii="Times New Roman" w:hAnsi="Times New Roman" w:cs="Times New Roman"/>
          <w:b/>
          <w:sz w:val="24"/>
          <w:szCs w:val="24"/>
        </w:rPr>
        <w:t xml:space="preserve"> </w:t>
      </w:r>
      <w:r w:rsidR="00DD6156" w:rsidRPr="00CE440F">
        <w:rPr>
          <w:rFonts w:ascii="Times New Roman" w:hAnsi="Times New Roman" w:cs="Times New Roman"/>
          <w:b/>
          <w:sz w:val="24"/>
          <w:szCs w:val="24"/>
        </w:rPr>
        <w:t xml:space="preserve">се регламентира </w:t>
      </w:r>
      <w:r w:rsidR="006E2459" w:rsidRPr="00CE440F">
        <w:rPr>
          <w:rFonts w:ascii="Times New Roman" w:hAnsi="Times New Roman" w:cs="Times New Roman"/>
          <w:b/>
          <w:sz w:val="24"/>
          <w:szCs w:val="24"/>
        </w:rPr>
        <w:t>заплащане</w:t>
      </w:r>
      <w:r w:rsidR="00DD6156" w:rsidRPr="00CE440F">
        <w:rPr>
          <w:rFonts w:ascii="Times New Roman" w:hAnsi="Times New Roman" w:cs="Times New Roman"/>
          <w:b/>
          <w:sz w:val="24"/>
          <w:szCs w:val="24"/>
        </w:rPr>
        <w:t>то</w:t>
      </w:r>
      <w:r w:rsidR="006E2459" w:rsidRPr="00CE440F">
        <w:rPr>
          <w:rFonts w:ascii="Times New Roman" w:hAnsi="Times New Roman" w:cs="Times New Roman"/>
          <w:b/>
          <w:sz w:val="24"/>
          <w:szCs w:val="24"/>
        </w:rPr>
        <w:t xml:space="preserve"> на</w:t>
      </w:r>
      <w:r w:rsidR="006E2459" w:rsidRPr="00CE440F">
        <w:rPr>
          <w:rFonts w:ascii="Times New Roman" w:hAnsi="Times New Roman" w:cs="Times New Roman"/>
          <w:sz w:val="24"/>
          <w:szCs w:val="24"/>
        </w:rPr>
        <w:t xml:space="preserve"> </w:t>
      </w:r>
      <w:r w:rsidR="006E2459" w:rsidRPr="00CE440F">
        <w:rPr>
          <w:rFonts w:ascii="Times New Roman" w:eastAsia="Times New Roman" w:hAnsi="Times New Roman" w:cs="Times New Roman"/>
          <w:b/>
          <w:sz w:val="24"/>
          <w:szCs w:val="24"/>
        </w:rPr>
        <w:t>неразплатени дейности</w:t>
      </w:r>
      <w:r w:rsidR="00DD6156" w:rsidRPr="00CE440F">
        <w:rPr>
          <w:rFonts w:ascii="Times New Roman" w:eastAsia="Times New Roman" w:hAnsi="Times New Roman" w:cs="Times New Roman"/>
          <w:b/>
          <w:sz w:val="24"/>
          <w:szCs w:val="24"/>
        </w:rPr>
        <w:t>,</w:t>
      </w:r>
      <w:r w:rsidR="006E2459" w:rsidRPr="00CE440F">
        <w:rPr>
          <w:rFonts w:ascii="Times New Roman" w:eastAsia="Times New Roman" w:hAnsi="Times New Roman" w:cs="Times New Roman"/>
          <w:b/>
          <w:sz w:val="24"/>
          <w:szCs w:val="24"/>
        </w:rPr>
        <w:t xml:space="preserve"> извън месечните стойности за минали периоди на изпълнит</w:t>
      </w:r>
      <w:r w:rsidR="00CD47B0" w:rsidRPr="00CE440F">
        <w:rPr>
          <w:rFonts w:ascii="Times New Roman" w:eastAsia="Times New Roman" w:hAnsi="Times New Roman" w:cs="Times New Roman"/>
          <w:b/>
          <w:sz w:val="24"/>
          <w:szCs w:val="24"/>
        </w:rPr>
        <w:t>ели на болнична медицинска помощ.</w:t>
      </w:r>
    </w:p>
    <w:p w:rsidR="00170264" w:rsidRPr="00CE440F" w:rsidRDefault="008F6D39" w:rsidP="004C14C5">
      <w:pPr>
        <w:keepNext/>
        <w:spacing w:before="60" w:after="0" w:line="300" w:lineRule="atLeast"/>
        <w:ind w:firstLine="70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В Информационната система на НЗОК се съдържа информация за регистрирани случаи, които се явяват неразплатени дейности, извън месечните стойности за минали периоди по </w:t>
      </w:r>
      <w:r w:rsidR="00170264" w:rsidRPr="00CE440F">
        <w:rPr>
          <w:rFonts w:ascii="Times New Roman" w:eastAsia="Times New Roman" w:hAnsi="Times New Roman" w:cs="Times New Roman"/>
          <w:sz w:val="24"/>
          <w:szCs w:val="24"/>
        </w:rPr>
        <w:t>договор</w:t>
      </w:r>
      <w:r w:rsidRPr="00CE440F">
        <w:rPr>
          <w:rFonts w:ascii="Times New Roman" w:eastAsia="Times New Roman" w:hAnsi="Times New Roman" w:cs="Times New Roman"/>
          <w:sz w:val="24"/>
          <w:szCs w:val="24"/>
        </w:rPr>
        <w:t>и</w:t>
      </w:r>
      <w:r w:rsidR="00170264" w:rsidRPr="00CE440F">
        <w:rPr>
          <w:rFonts w:ascii="Times New Roman" w:eastAsia="Times New Roman" w:hAnsi="Times New Roman" w:cs="Times New Roman"/>
          <w:sz w:val="24"/>
          <w:szCs w:val="24"/>
        </w:rPr>
        <w:t xml:space="preserve">те между НЗОК и </w:t>
      </w:r>
      <w:r w:rsidRPr="00CE440F">
        <w:rPr>
          <w:rFonts w:ascii="Times New Roman" w:eastAsia="Times New Roman" w:hAnsi="Times New Roman" w:cs="Times New Roman"/>
          <w:sz w:val="24"/>
          <w:szCs w:val="24"/>
        </w:rPr>
        <w:t>изпълнителите на болнична помощ</w:t>
      </w:r>
      <w:r w:rsidR="004C14C5" w:rsidRPr="00CE440F">
        <w:rPr>
          <w:rFonts w:ascii="Times New Roman" w:eastAsia="Times New Roman" w:hAnsi="Times New Roman" w:cs="Times New Roman"/>
          <w:sz w:val="24"/>
          <w:szCs w:val="24"/>
        </w:rPr>
        <w:t xml:space="preserve">. </w:t>
      </w:r>
      <w:r w:rsidRPr="00CE440F">
        <w:rPr>
          <w:rFonts w:ascii="Times New Roman" w:eastAsia="Times New Roman" w:hAnsi="Times New Roman" w:cs="Times New Roman"/>
          <w:sz w:val="24"/>
          <w:szCs w:val="24"/>
        </w:rPr>
        <w:t xml:space="preserve">За тези дейности изпълнителите на болнична медицинска помощ предявяват </w:t>
      </w:r>
      <w:r w:rsidR="004C14C5" w:rsidRPr="00CE440F">
        <w:rPr>
          <w:rFonts w:ascii="Times New Roman" w:eastAsia="Times New Roman" w:hAnsi="Times New Roman" w:cs="Times New Roman"/>
          <w:sz w:val="24"/>
          <w:szCs w:val="24"/>
        </w:rPr>
        <w:t>периодично</w:t>
      </w:r>
      <w:r w:rsidRPr="00CE440F">
        <w:rPr>
          <w:rFonts w:ascii="Times New Roman" w:eastAsia="Times New Roman" w:hAnsi="Times New Roman" w:cs="Times New Roman"/>
          <w:sz w:val="24"/>
          <w:szCs w:val="24"/>
        </w:rPr>
        <w:t xml:space="preserve"> </w:t>
      </w:r>
      <w:r w:rsidR="004C14C5" w:rsidRPr="00CE440F">
        <w:rPr>
          <w:rFonts w:ascii="Times New Roman" w:eastAsia="Times New Roman" w:hAnsi="Times New Roman" w:cs="Times New Roman"/>
          <w:sz w:val="24"/>
          <w:szCs w:val="24"/>
        </w:rPr>
        <w:t xml:space="preserve">съдебни искове към </w:t>
      </w:r>
      <w:r w:rsidRPr="00CE440F">
        <w:rPr>
          <w:rFonts w:ascii="Times New Roman" w:eastAsia="Times New Roman" w:hAnsi="Times New Roman" w:cs="Times New Roman"/>
          <w:sz w:val="24"/>
          <w:szCs w:val="24"/>
        </w:rPr>
        <w:t>НЗОК</w:t>
      </w:r>
      <w:r w:rsidR="004C14C5" w:rsidRPr="00CE440F">
        <w:rPr>
          <w:rFonts w:ascii="Times New Roman" w:eastAsia="Times New Roman" w:hAnsi="Times New Roman" w:cs="Times New Roman"/>
          <w:sz w:val="24"/>
          <w:szCs w:val="24"/>
        </w:rPr>
        <w:t>.</w:t>
      </w:r>
      <w:r w:rsidRPr="00CE440F">
        <w:rPr>
          <w:rFonts w:ascii="Times New Roman" w:eastAsia="Times New Roman" w:hAnsi="Times New Roman" w:cs="Times New Roman"/>
          <w:sz w:val="24"/>
          <w:szCs w:val="24"/>
        </w:rPr>
        <w:t xml:space="preserve"> </w:t>
      </w:r>
      <w:r w:rsidR="006875D4" w:rsidRPr="00CE440F">
        <w:rPr>
          <w:rFonts w:ascii="Times New Roman" w:eastAsia="Times New Roman" w:hAnsi="Times New Roman" w:cs="Times New Roman"/>
          <w:sz w:val="24"/>
          <w:szCs w:val="24"/>
        </w:rPr>
        <w:t xml:space="preserve">Целта е да се </w:t>
      </w:r>
      <w:r w:rsidR="00D322D9" w:rsidRPr="00CE440F">
        <w:rPr>
          <w:rFonts w:ascii="Times New Roman" w:eastAsia="Times New Roman" w:hAnsi="Times New Roman" w:cs="Times New Roman"/>
          <w:sz w:val="24"/>
          <w:szCs w:val="24"/>
        </w:rPr>
        <w:t xml:space="preserve">предвиди </w:t>
      </w:r>
      <w:r w:rsidR="00170264" w:rsidRPr="00CE440F">
        <w:rPr>
          <w:rFonts w:ascii="Times New Roman" w:eastAsia="Times New Roman" w:hAnsi="Times New Roman" w:cs="Times New Roman"/>
          <w:sz w:val="24"/>
          <w:szCs w:val="24"/>
        </w:rPr>
        <w:t xml:space="preserve">правна възможност </w:t>
      </w:r>
      <w:r w:rsidR="00D322D9" w:rsidRPr="00CE440F">
        <w:rPr>
          <w:rFonts w:ascii="Times New Roman" w:eastAsia="Times New Roman" w:hAnsi="Times New Roman" w:cs="Times New Roman"/>
          <w:sz w:val="24"/>
          <w:szCs w:val="24"/>
        </w:rPr>
        <w:t>за</w:t>
      </w:r>
      <w:r w:rsidR="002F0EDE" w:rsidRPr="00CE440F">
        <w:rPr>
          <w:rFonts w:ascii="Times New Roman" w:eastAsia="Times New Roman" w:hAnsi="Times New Roman" w:cs="Times New Roman"/>
          <w:sz w:val="24"/>
          <w:szCs w:val="24"/>
        </w:rPr>
        <w:t xml:space="preserve"> заплащане</w:t>
      </w:r>
      <w:r w:rsidR="00D322D9" w:rsidRPr="00CE440F">
        <w:rPr>
          <w:rFonts w:ascii="Times New Roman" w:eastAsia="Times New Roman" w:hAnsi="Times New Roman" w:cs="Times New Roman"/>
          <w:sz w:val="24"/>
          <w:szCs w:val="24"/>
        </w:rPr>
        <w:t xml:space="preserve"> </w:t>
      </w:r>
      <w:r w:rsidR="002F0EDE" w:rsidRPr="00CE440F">
        <w:rPr>
          <w:rFonts w:ascii="Times New Roman" w:eastAsia="Times New Roman" w:hAnsi="Times New Roman" w:cs="Times New Roman"/>
          <w:sz w:val="24"/>
          <w:szCs w:val="24"/>
        </w:rPr>
        <w:t>на отчетени но незаплатени дейности от минали периоди</w:t>
      </w:r>
      <w:r w:rsidR="00EE6414" w:rsidRPr="00CE440F">
        <w:rPr>
          <w:rFonts w:ascii="Times New Roman" w:eastAsia="Times New Roman" w:hAnsi="Times New Roman" w:cs="Times New Roman"/>
          <w:sz w:val="24"/>
          <w:szCs w:val="24"/>
        </w:rPr>
        <w:t>.</w:t>
      </w:r>
      <w:r w:rsidR="002F0EDE" w:rsidRPr="00CE440F">
        <w:rPr>
          <w:rFonts w:ascii="Times New Roman" w:eastAsia="Times New Roman" w:hAnsi="Times New Roman" w:cs="Times New Roman"/>
          <w:sz w:val="24"/>
          <w:szCs w:val="24"/>
        </w:rPr>
        <w:t xml:space="preserve"> </w:t>
      </w:r>
    </w:p>
    <w:p w:rsidR="00170264" w:rsidRPr="00CE440F" w:rsidRDefault="00170264" w:rsidP="00170264">
      <w:pPr>
        <w:keepNext/>
        <w:spacing w:before="60" w:after="0" w:line="300" w:lineRule="atLeast"/>
        <w:ind w:firstLine="70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С </w:t>
      </w:r>
      <w:r w:rsidR="00D529EF" w:rsidRPr="00CE440F">
        <w:rPr>
          <w:rFonts w:ascii="Times New Roman" w:eastAsia="Times New Roman" w:hAnsi="Times New Roman" w:cs="Times New Roman"/>
          <w:sz w:val="24"/>
          <w:szCs w:val="24"/>
        </w:rPr>
        <w:t xml:space="preserve">предложените в проекта текстове </w:t>
      </w:r>
      <w:r w:rsidRPr="00CE440F">
        <w:rPr>
          <w:rFonts w:ascii="Times New Roman" w:eastAsia="Times New Roman" w:hAnsi="Times New Roman" w:cs="Times New Roman"/>
          <w:sz w:val="24"/>
          <w:szCs w:val="24"/>
        </w:rPr>
        <w:t xml:space="preserve">ще се създаде основание при неусвояване на бюджетните средства за 2021 г., същите да бъдат използвани за плащания към изпълнители на болнична помощ за минал период, които НЗОК/РЗОК е установила по </w:t>
      </w:r>
      <w:r w:rsidR="00D529EF" w:rsidRPr="00CE440F">
        <w:rPr>
          <w:rFonts w:ascii="Times New Roman" w:eastAsia="Times New Roman" w:hAnsi="Times New Roman" w:cs="Times New Roman"/>
          <w:sz w:val="24"/>
          <w:szCs w:val="24"/>
        </w:rPr>
        <w:t>нормативен ред</w:t>
      </w:r>
      <w:r w:rsidRPr="00CE440F">
        <w:rPr>
          <w:rFonts w:ascii="Times New Roman" w:eastAsia="Times New Roman" w:hAnsi="Times New Roman" w:cs="Times New Roman"/>
          <w:sz w:val="24"/>
          <w:szCs w:val="24"/>
        </w:rPr>
        <w:t>.</w:t>
      </w:r>
    </w:p>
    <w:p w:rsidR="00311811" w:rsidRPr="00CE440F" w:rsidRDefault="00311811" w:rsidP="00170264">
      <w:pPr>
        <w:keepNext/>
        <w:spacing w:before="60" w:after="0" w:line="300" w:lineRule="atLeast"/>
        <w:ind w:firstLine="70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 xml:space="preserve">Неусвоените средства до 31 декември 2021 г. </w:t>
      </w:r>
      <w:r w:rsidR="00D529EF" w:rsidRPr="00CE440F">
        <w:rPr>
          <w:rFonts w:ascii="Times New Roman" w:eastAsia="Times New Roman" w:hAnsi="Times New Roman" w:cs="Times New Roman"/>
          <w:sz w:val="24"/>
          <w:szCs w:val="24"/>
        </w:rPr>
        <w:t>по здравноосигурени плащания за болнична медицинска помощ ще се</w:t>
      </w:r>
      <w:r w:rsidRPr="00CE440F">
        <w:rPr>
          <w:rFonts w:ascii="Times New Roman" w:eastAsia="Times New Roman" w:hAnsi="Times New Roman" w:cs="Times New Roman"/>
          <w:sz w:val="24"/>
          <w:szCs w:val="24"/>
        </w:rPr>
        <w:t xml:space="preserve"> превеждат по сметката за чужди средства </w:t>
      </w:r>
      <w:r w:rsidR="00D529EF" w:rsidRPr="00CE440F">
        <w:rPr>
          <w:rFonts w:ascii="Times New Roman" w:eastAsia="Times New Roman" w:hAnsi="Times New Roman" w:cs="Times New Roman"/>
          <w:sz w:val="24"/>
          <w:szCs w:val="24"/>
        </w:rPr>
        <w:t xml:space="preserve">на НЗОК </w:t>
      </w:r>
      <w:r w:rsidRPr="00CE440F">
        <w:rPr>
          <w:rFonts w:ascii="Times New Roman" w:eastAsia="Times New Roman" w:hAnsi="Times New Roman" w:cs="Times New Roman"/>
          <w:sz w:val="24"/>
          <w:szCs w:val="24"/>
        </w:rPr>
        <w:t xml:space="preserve">и могат да се използват за заплащане на незаплатени дейности при условия и по ред, определени от надзорния съвет на НЗОК. </w:t>
      </w:r>
      <w:r w:rsidR="00D529EF" w:rsidRPr="00CE440F">
        <w:rPr>
          <w:rFonts w:ascii="Times New Roman" w:eastAsia="Times New Roman" w:hAnsi="Times New Roman" w:cs="Times New Roman"/>
          <w:sz w:val="24"/>
          <w:szCs w:val="24"/>
        </w:rPr>
        <w:t>За п</w:t>
      </w:r>
      <w:r w:rsidRPr="00CE440F">
        <w:rPr>
          <w:rFonts w:ascii="Times New Roman" w:eastAsia="Times New Roman" w:hAnsi="Times New Roman" w:cs="Times New Roman"/>
          <w:sz w:val="24"/>
          <w:szCs w:val="24"/>
        </w:rPr>
        <w:t xml:space="preserve">реведените средства по сметката за чужди средства </w:t>
      </w:r>
      <w:r w:rsidR="00D529EF" w:rsidRPr="00CE440F">
        <w:rPr>
          <w:rFonts w:ascii="Times New Roman" w:eastAsia="Times New Roman" w:hAnsi="Times New Roman" w:cs="Times New Roman"/>
          <w:sz w:val="24"/>
          <w:szCs w:val="24"/>
        </w:rPr>
        <w:t>на НЗОК и тяхното съхраняване, разплащане и отчитане се прилагат съответните изисквания на Закона за публичните финанси за сметките на първостепенните разпоредители с бюджет за чужди средства и се о</w:t>
      </w:r>
      <w:r w:rsidRPr="00CE440F">
        <w:rPr>
          <w:rFonts w:ascii="Times New Roman" w:eastAsia="Times New Roman" w:hAnsi="Times New Roman" w:cs="Times New Roman"/>
          <w:sz w:val="24"/>
          <w:szCs w:val="24"/>
        </w:rPr>
        <w:t>тразяват в изпълнението на съответните разходни показатели</w:t>
      </w:r>
      <w:r w:rsidR="00D529EF" w:rsidRPr="00CE440F">
        <w:rPr>
          <w:rFonts w:ascii="Times New Roman" w:eastAsia="Times New Roman" w:hAnsi="Times New Roman" w:cs="Times New Roman"/>
          <w:sz w:val="24"/>
          <w:szCs w:val="24"/>
        </w:rPr>
        <w:t xml:space="preserve"> по бюджета на НЗОК за 2020 г.</w:t>
      </w:r>
    </w:p>
    <w:p w:rsidR="00645BB0" w:rsidRPr="00CE440F" w:rsidRDefault="00645BB0" w:rsidP="00C27003">
      <w:pPr>
        <w:pStyle w:val="ListParagraph"/>
        <w:keepNext/>
        <w:spacing w:before="60" w:after="0" w:line="300" w:lineRule="atLeast"/>
        <w:ind w:left="0" w:firstLine="1134"/>
        <w:jc w:val="both"/>
        <w:rPr>
          <w:rFonts w:ascii="Times New Roman" w:eastAsia="Times New Roman" w:hAnsi="Times New Roman" w:cs="Times New Roman"/>
          <w:b/>
          <w:sz w:val="24"/>
          <w:szCs w:val="24"/>
        </w:rPr>
      </w:pPr>
    </w:p>
    <w:p w:rsidR="00311811" w:rsidRPr="00CE440F" w:rsidRDefault="00C27003" w:rsidP="00F702EE">
      <w:pPr>
        <w:pStyle w:val="ListParagraph"/>
        <w:keepNext/>
        <w:spacing w:before="60" w:after="0" w:line="300" w:lineRule="atLeast"/>
        <w:ind w:left="0" w:firstLine="851"/>
        <w:jc w:val="both"/>
        <w:rPr>
          <w:rFonts w:ascii="Times New Roman" w:eastAsia="Times New Roman" w:hAnsi="Times New Roman" w:cs="Times New Roman"/>
          <w:sz w:val="24"/>
          <w:szCs w:val="24"/>
        </w:rPr>
      </w:pPr>
      <w:r w:rsidRPr="00CE440F">
        <w:rPr>
          <w:rFonts w:ascii="Times New Roman" w:eastAsia="Times New Roman" w:hAnsi="Times New Roman" w:cs="Times New Roman"/>
          <w:b/>
          <w:sz w:val="24"/>
          <w:szCs w:val="24"/>
        </w:rPr>
        <w:t xml:space="preserve">2. </w:t>
      </w:r>
      <w:r w:rsidR="00FE7D7A" w:rsidRPr="00CE440F">
        <w:rPr>
          <w:rFonts w:ascii="Times New Roman" w:eastAsia="Times New Roman" w:hAnsi="Times New Roman" w:cs="Times New Roman"/>
          <w:b/>
          <w:sz w:val="24"/>
          <w:szCs w:val="24"/>
        </w:rPr>
        <w:t>С</w:t>
      </w:r>
      <w:r w:rsidRPr="00CE440F">
        <w:rPr>
          <w:rFonts w:ascii="Times New Roman" w:eastAsia="Times New Roman" w:hAnsi="Times New Roman" w:cs="Times New Roman"/>
          <w:b/>
          <w:sz w:val="24"/>
          <w:szCs w:val="24"/>
        </w:rPr>
        <w:t xml:space="preserve"> §13 се предлагат изменение и допълнения в Закона за бюджета на НЗОК 2020</w:t>
      </w:r>
      <w:r w:rsidR="00073678" w:rsidRPr="00CE440F">
        <w:rPr>
          <w:rFonts w:ascii="Times New Roman" w:eastAsia="Times New Roman" w:hAnsi="Times New Roman" w:cs="Times New Roman"/>
          <w:b/>
          <w:sz w:val="24"/>
          <w:szCs w:val="24"/>
        </w:rPr>
        <w:t xml:space="preserve"> </w:t>
      </w:r>
      <w:r w:rsidRPr="00CE440F">
        <w:rPr>
          <w:rFonts w:ascii="Times New Roman" w:eastAsia="Times New Roman" w:hAnsi="Times New Roman" w:cs="Times New Roman"/>
          <w:b/>
          <w:sz w:val="24"/>
          <w:szCs w:val="24"/>
        </w:rPr>
        <w:t>със следните мотиви:</w:t>
      </w:r>
    </w:p>
    <w:p w:rsidR="00170264" w:rsidRPr="00CE440F" w:rsidRDefault="00CA1701" w:rsidP="00311811">
      <w:pPr>
        <w:keepNext/>
        <w:spacing w:before="60" w:after="0" w:line="300" w:lineRule="atLeast"/>
        <w:ind w:firstLine="706"/>
        <w:jc w:val="both"/>
        <w:rPr>
          <w:rFonts w:ascii="Times New Roman" w:eastAsia="Times New Roman" w:hAnsi="Times New Roman" w:cs="Times New Roman"/>
          <w:sz w:val="24"/>
          <w:szCs w:val="24"/>
        </w:rPr>
      </w:pPr>
      <w:r w:rsidRPr="00CE440F">
        <w:rPr>
          <w:rFonts w:ascii="Times New Roman" w:eastAsia="Times New Roman" w:hAnsi="Times New Roman" w:cs="Times New Roman"/>
          <w:sz w:val="24"/>
          <w:szCs w:val="24"/>
        </w:rPr>
        <w:t>С проекта на</w:t>
      </w:r>
      <w:r w:rsidR="003269A3" w:rsidRPr="00CE440F">
        <w:rPr>
          <w:rFonts w:ascii="Times New Roman" w:eastAsia="Times New Roman" w:hAnsi="Times New Roman" w:cs="Times New Roman"/>
          <w:sz w:val="24"/>
          <w:szCs w:val="24"/>
        </w:rPr>
        <w:t xml:space="preserve"> ЗБНЗОК за 2021 г. се изменя ЗБН</w:t>
      </w:r>
      <w:r w:rsidRPr="00CE440F">
        <w:rPr>
          <w:rFonts w:ascii="Times New Roman" w:eastAsia="Times New Roman" w:hAnsi="Times New Roman" w:cs="Times New Roman"/>
          <w:sz w:val="24"/>
          <w:szCs w:val="24"/>
        </w:rPr>
        <w:t>ЗОК за 2020 г., като се дава възможност н</w:t>
      </w:r>
      <w:r w:rsidR="00311811" w:rsidRPr="00CE440F">
        <w:rPr>
          <w:rFonts w:ascii="Times New Roman" w:eastAsia="Times New Roman" w:hAnsi="Times New Roman" w:cs="Times New Roman"/>
          <w:sz w:val="24"/>
          <w:szCs w:val="24"/>
        </w:rPr>
        <w:t xml:space="preserve">еусвоените средства до 31 декември 2020 г. </w:t>
      </w:r>
      <w:r w:rsidRPr="00CE440F">
        <w:rPr>
          <w:rFonts w:ascii="Times New Roman" w:eastAsia="Times New Roman" w:hAnsi="Times New Roman" w:cs="Times New Roman"/>
          <w:sz w:val="24"/>
          <w:szCs w:val="24"/>
        </w:rPr>
        <w:t>по здравноосигурени плащания за болнична медицинска помощ</w:t>
      </w:r>
      <w:r w:rsidR="003269A3" w:rsidRPr="00CE440F">
        <w:rPr>
          <w:rFonts w:ascii="Times New Roman" w:eastAsia="Times New Roman" w:hAnsi="Times New Roman" w:cs="Times New Roman"/>
          <w:sz w:val="24"/>
          <w:szCs w:val="24"/>
        </w:rPr>
        <w:t xml:space="preserve"> да се превеждат</w:t>
      </w:r>
      <w:r w:rsidR="00311811" w:rsidRPr="00CE440F">
        <w:rPr>
          <w:rFonts w:ascii="Times New Roman" w:eastAsia="Times New Roman" w:hAnsi="Times New Roman" w:cs="Times New Roman"/>
          <w:sz w:val="24"/>
          <w:szCs w:val="24"/>
        </w:rPr>
        <w:t xml:space="preserve"> по сметката за чужди средства </w:t>
      </w:r>
      <w:r w:rsidRPr="00CE440F">
        <w:rPr>
          <w:rFonts w:ascii="Times New Roman" w:eastAsia="Times New Roman" w:hAnsi="Times New Roman" w:cs="Times New Roman"/>
          <w:sz w:val="24"/>
          <w:szCs w:val="24"/>
        </w:rPr>
        <w:t xml:space="preserve">на НЗОК </w:t>
      </w:r>
      <w:r w:rsidR="003269A3" w:rsidRPr="00CE440F">
        <w:rPr>
          <w:rFonts w:ascii="Times New Roman" w:eastAsia="Times New Roman" w:hAnsi="Times New Roman" w:cs="Times New Roman"/>
          <w:sz w:val="24"/>
          <w:szCs w:val="24"/>
        </w:rPr>
        <w:t xml:space="preserve">и </w:t>
      </w:r>
      <w:r w:rsidRPr="00CE440F">
        <w:rPr>
          <w:rFonts w:ascii="Times New Roman" w:eastAsia="Times New Roman" w:hAnsi="Times New Roman" w:cs="Times New Roman"/>
          <w:sz w:val="24"/>
          <w:szCs w:val="24"/>
        </w:rPr>
        <w:t xml:space="preserve">да </w:t>
      </w:r>
      <w:r w:rsidR="003269A3" w:rsidRPr="00CE440F">
        <w:rPr>
          <w:rFonts w:ascii="Times New Roman" w:eastAsia="Times New Roman" w:hAnsi="Times New Roman" w:cs="Times New Roman"/>
          <w:sz w:val="24"/>
          <w:szCs w:val="24"/>
        </w:rPr>
        <w:t xml:space="preserve"> могат да </w:t>
      </w:r>
      <w:r w:rsidR="00311811" w:rsidRPr="00CE440F">
        <w:rPr>
          <w:rFonts w:ascii="Times New Roman" w:eastAsia="Times New Roman" w:hAnsi="Times New Roman" w:cs="Times New Roman"/>
          <w:sz w:val="24"/>
          <w:szCs w:val="24"/>
        </w:rPr>
        <w:t>се използват за заплащане на отчетени, но незаплатени дейности при условия и по ред, определени от надзорния съвет на НЗОК. Преведените средства по сметката за чужди средства се отразяват в изпълнението на съответните разходни показате</w:t>
      </w:r>
      <w:r w:rsidR="00645BB0" w:rsidRPr="00CE440F">
        <w:rPr>
          <w:rFonts w:ascii="Times New Roman" w:eastAsia="Times New Roman" w:hAnsi="Times New Roman" w:cs="Times New Roman"/>
          <w:sz w:val="24"/>
          <w:szCs w:val="24"/>
        </w:rPr>
        <w:t>ли по бюджета на НЗОК</w:t>
      </w:r>
      <w:r w:rsidR="00311811" w:rsidRPr="00CE440F">
        <w:rPr>
          <w:rFonts w:ascii="Times New Roman" w:eastAsia="Times New Roman" w:hAnsi="Times New Roman" w:cs="Times New Roman"/>
          <w:sz w:val="24"/>
          <w:szCs w:val="24"/>
        </w:rPr>
        <w:t>, като за съхраняването, разплащането и отчитането на тези средства се прилагат съответните изисквания на Закона за публичните финанси за сметките за чужди средства.</w:t>
      </w:r>
    </w:p>
    <w:p w:rsidR="008C0876" w:rsidRPr="00CE440F" w:rsidRDefault="008C0876" w:rsidP="00C27003">
      <w:pPr>
        <w:keepNext/>
        <w:spacing w:before="60" w:after="0" w:line="300" w:lineRule="atLeast"/>
        <w:ind w:firstLine="706"/>
        <w:jc w:val="both"/>
        <w:rPr>
          <w:rFonts w:ascii="Times New Roman" w:eastAsia="Times New Roman" w:hAnsi="Times New Roman" w:cs="Times New Roman"/>
          <w:sz w:val="24"/>
          <w:szCs w:val="24"/>
          <w:lang w:eastAsia="bg-BG"/>
        </w:rPr>
      </w:pPr>
    </w:p>
    <w:p w:rsidR="008C0876" w:rsidRPr="00CE440F" w:rsidRDefault="00F702EE" w:rsidP="008C0876">
      <w:pPr>
        <w:keepNext/>
        <w:spacing w:before="60" w:after="0" w:line="300" w:lineRule="atLeast"/>
        <w:ind w:firstLine="706"/>
        <w:jc w:val="both"/>
        <w:rPr>
          <w:rFonts w:eastAsia="Times New Roman" w:cs="Times New Roman"/>
          <w:b/>
          <w:caps/>
          <w:sz w:val="24"/>
          <w:szCs w:val="24"/>
        </w:rPr>
      </w:pPr>
      <w:r w:rsidRPr="00CE440F">
        <w:rPr>
          <w:rFonts w:ascii="Times New Roman" w:eastAsia="Times New Roman" w:hAnsi="Times New Roman" w:cs="Times New Roman"/>
          <w:b/>
          <w:caps/>
          <w:sz w:val="24"/>
          <w:szCs w:val="24"/>
        </w:rPr>
        <w:t>3</w:t>
      </w:r>
      <w:r w:rsidR="008C0876" w:rsidRPr="00CE440F">
        <w:rPr>
          <w:rFonts w:ascii="Times New Roman" w:eastAsia="Times New Roman" w:hAnsi="Times New Roman" w:cs="Times New Roman"/>
          <w:b/>
          <w:sz w:val="24"/>
          <w:szCs w:val="24"/>
        </w:rPr>
        <w:t xml:space="preserve">. </w:t>
      </w:r>
      <w:r w:rsidR="000B7F71" w:rsidRPr="00CE440F">
        <w:rPr>
          <w:rFonts w:ascii="Times New Roman" w:eastAsia="Times New Roman" w:hAnsi="Times New Roman" w:cs="Times New Roman"/>
          <w:b/>
          <w:sz w:val="24"/>
          <w:szCs w:val="24"/>
        </w:rPr>
        <w:t>С</w:t>
      </w:r>
      <w:r w:rsidR="008C0876" w:rsidRPr="00CE440F">
        <w:rPr>
          <w:rFonts w:ascii="Times New Roman" w:eastAsia="Times New Roman" w:hAnsi="Times New Roman" w:cs="Times New Roman"/>
          <w:b/>
          <w:sz w:val="24"/>
          <w:szCs w:val="24"/>
        </w:rPr>
        <w:t xml:space="preserve"> </w:t>
      </w:r>
      <w:r w:rsidR="006D3A20" w:rsidRPr="00CE440F">
        <w:rPr>
          <w:rFonts w:ascii="Times New Roman" w:eastAsia="Times New Roman" w:hAnsi="Times New Roman" w:cs="Times New Roman"/>
          <w:b/>
          <w:sz w:val="24"/>
          <w:szCs w:val="24"/>
        </w:rPr>
        <w:t>§</w:t>
      </w:r>
      <w:r w:rsidR="00F34142" w:rsidRPr="00CE440F">
        <w:rPr>
          <w:rFonts w:ascii="Times New Roman" w:eastAsia="Times New Roman" w:hAnsi="Times New Roman" w:cs="Times New Roman"/>
          <w:b/>
          <w:sz w:val="24"/>
          <w:szCs w:val="24"/>
        </w:rPr>
        <w:t>§</w:t>
      </w:r>
      <w:r w:rsidR="006D3A20" w:rsidRPr="00CE440F">
        <w:rPr>
          <w:rFonts w:ascii="Times New Roman" w:eastAsia="Times New Roman" w:hAnsi="Times New Roman" w:cs="Times New Roman"/>
          <w:b/>
          <w:sz w:val="24"/>
          <w:szCs w:val="24"/>
        </w:rPr>
        <w:t xml:space="preserve"> </w:t>
      </w:r>
      <w:r w:rsidR="008C0876" w:rsidRPr="00CE440F">
        <w:rPr>
          <w:rFonts w:ascii="Times New Roman" w:eastAsia="Times New Roman" w:hAnsi="Times New Roman" w:cs="Times New Roman"/>
          <w:b/>
          <w:sz w:val="24"/>
          <w:szCs w:val="24"/>
        </w:rPr>
        <w:t>15</w:t>
      </w:r>
      <w:r w:rsidR="006D3A20" w:rsidRPr="00CE440F">
        <w:rPr>
          <w:rFonts w:ascii="Times New Roman" w:eastAsia="Times New Roman" w:hAnsi="Times New Roman" w:cs="Times New Roman"/>
          <w:b/>
          <w:sz w:val="24"/>
          <w:szCs w:val="24"/>
        </w:rPr>
        <w:t>,</w:t>
      </w:r>
      <w:r w:rsidR="008C0876" w:rsidRPr="00CE440F">
        <w:rPr>
          <w:rFonts w:ascii="Times New Roman" w:eastAsia="Times New Roman" w:hAnsi="Times New Roman" w:cs="Times New Roman"/>
          <w:b/>
          <w:sz w:val="24"/>
          <w:szCs w:val="24"/>
        </w:rPr>
        <w:t xml:space="preserve"> </w:t>
      </w:r>
      <w:r w:rsidR="006D3A20" w:rsidRPr="00CE440F">
        <w:rPr>
          <w:rFonts w:ascii="Times New Roman" w:eastAsia="Times New Roman" w:hAnsi="Times New Roman" w:cs="Times New Roman"/>
          <w:b/>
          <w:sz w:val="24"/>
          <w:szCs w:val="24"/>
        </w:rPr>
        <w:t>16, 17, 18 и 19</w:t>
      </w:r>
      <w:r w:rsidR="000B7F71" w:rsidRPr="00CE440F">
        <w:rPr>
          <w:rFonts w:ascii="Times New Roman" w:eastAsia="Times New Roman" w:hAnsi="Times New Roman" w:cs="Times New Roman"/>
          <w:b/>
          <w:sz w:val="24"/>
          <w:szCs w:val="24"/>
        </w:rPr>
        <w:t xml:space="preserve"> </w:t>
      </w:r>
      <w:r w:rsidR="00F34142" w:rsidRPr="00CE440F">
        <w:rPr>
          <w:rFonts w:ascii="Times New Roman" w:eastAsia="Times New Roman" w:hAnsi="Times New Roman" w:cs="Times New Roman"/>
          <w:b/>
          <w:sz w:val="24"/>
          <w:szCs w:val="24"/>
        </w:rPr>
        <w:t>се предлагат изменение</w:t>
      </w:r>
      <w:r w:rsidR="00DD03C1" w:rsidRPr="00CE440F">
        <w:rPr>
          <w:rFonts w:ascii="Times New Roman" w:eastAsia="Times New Roman" w:hAnsi="Times New Roman" w:cs="Times New Roman"/>
          <w:b/>
          <w:sz w:val="24"/>
          <w:szCs w:val="24"/>
        </w:rPr>
        <w:t xml:space="preserve"> и допълнения в Закона за здравното осигуряване и </w:t>
      </w:r>
      <w:r w:rsidR="00F34142" w:rsidRPr="00CE440F">
        <w:rPr>
          <w:rFonts w:ascii="Times New Roman" w:eastAsia="Times New Roman" w:hAnsi="Times New Roman" w:cs="Times New Roman"/>
          <w:b/>
          <w:sz w:val="24"/>
          <w:szCs w:val="24"/>
        </w:rPr>
        <w:t xml:space="preserve">в </w:t>
      </w:r>
      <w:r w:rsidR="00DD03C1" w:rsidRPr="00CE440F">
        <w:rPr>
          <w:rFonts w:ascii="Times New Roman" w:eastAsia="Calibri" w:hAnsi="Times New Roman" w:cs="Times New Roman"/>
          <w:b/>
          <w:sz w:val="24"/>
          <w:szCs w:val="24"/>
        </w:rPr>
        <w:t>Закона за лекарствените продукти в хуманната медицина,</w:t>
      </w:r>
      <w:r w:rsidR="00DD03C1" w:rsidRPr="00CE440F">
        <w:rPr>
          <w:rFonts w:ascii="Times New Roman" w:eastAsia="Times New Roman" w:hAnsi="Times New Roman" w:cs="Times New Roman"/>
          <w:b/>
          <w:sz w:val="24"/>
          <w:szCs w:val="24"/>
        </w:rPr>
        <w:t xml:space="preserve"> </w:t>
      </w:r>
      <w:r w:rsidR="00A00244" w:rsidRPr="00CE440F">
        <w:rPr>
          <w:rFonts w:ascii="Times New Roman" w:eastAsia="Times New Roman" w:hAnsi="Times New Roman" w:cs="Times New Roman"/>
          <w:b/>
          <w:sz w:val="24"/>
          <w:szCs w:val="24"/>
        </w:rPr>
        <w:t xml:space="preserve">свързани с </w:t>
      </w:r>
      <w:r w:rsidR="00DD03C1" w:rsidRPr="00CE440F">
        <w:rPr>
          <w:rFonts w:ascii="Times New Roman" w:eastAsia="Times New Roman" w:hAnsi="Times New Roman" w:cs="Times New Roman"/>
          <w:b/>
          <w:sz w:val="24"/>
          <w:szCs w:val="24"/>
        </w:rPr>
        <w:t>регулиране на лекарствените продукти</w:t>
      </w:r>
      <w:r w:rsidR="003D4502" w:rsidRPr="00CE440F">
        <w:rPr>
          <w:rFonts w:ascii="Times New Roman" w:eastAsia="Times New Roman" w:hAnsi="Times New Roman" w:cs="Times New Roman"/>
          <w:b/>
          <w:sz w:val="24"/>
          <w:szCs w:val="24"/>
        </w:rPr>
        <w:t xml:space="preserve"> и медицинските изделия</w:t>
      </w:r>
      <w:r w:rsidR="00DD03C1" w:rsidRPr="00CE440F">
        <w:rPr>
          <w:rFonts w:ascii="Times New Roman" w:eastAsia="Times New Roman" w:hAnsi="Times New Roman" w:cs="Times New Roman"/>
          <w:b/>
          <w:sz w:val="24"/>
          <w:szCs w:val="24"/>
        </w:rPr>
        <w:t>, заплащани с публични средства:</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С проекта се предвиждат нормативни промени в Закона за лекарствените продукти в хуманната медицина и в Закона за здравното осигуряване в насока  оптимизиране на правилата за заплащане на лекарствени продукти с публични средства. Тези нормативни промени са публично оповестени на интернет страницата на Министерството на здравеопазването на 11.07.2020</w:t>
      </w:r>
      <w:r w:rsidR="00F702EE" w:rsidRPr="00CE440F">
        <w:rPr>
          <w:rFonts w:ascii="Times New Roman" w:eastAsia="Calibri" w:hAnsi="Times New Roman" w:cs="Times New Roman"/>
          <w:sz w:val="24"/>
          <w:szCs w:val="24"/>
        </w:rPr>
        <w:t xml:space="preserve"> </w:t>
      </w:r>
      <w:r w:rsidRPr="00CE440F">
        <w:rPr>
          <w:rFonts w:ascii="Times New Roman" w:eastAsia="Calibri" w:hAnsi="Times New Roman" w:cs="Times New Roman"/>
          <w:sz w:val="24"/>
          <w:szCs w:val="24"/>
        </w:rPr>
        <w:t>г., като част от проект на Закон за изменение и допълнение на ЗЛПХМ. Включени са в на</w:t>
      </w:r>
      <w:r w:rsidR="00AD727F" w:rsidRPr="00CE440F">
        <w:rPr>
          <w:rFonts w:ascii="Times New Roman" w:eastAsia="Calibri" w:hAnsi="Times New Roman" w:cs="Times New Roman"/>
          <w:sz w:val="24"/>
          <w:szCs w:val="24"/>
        </w:rPr>
        <w:t>стоящия проект на ЗБНЗОК за 202</w:t>
      </w:r>
      <w:r w:rsidRPr="00CE440F">
        <w:rPr>
          <w:rFonts w:ascii="Times New Roman" w:eastAsia="Calibri" w:hAnsi="Times New Roman" w:cs="Times New Roman"/>
          <w:sz w:val="24"/>
          <w:szCs w:val="24"/>
        </w:rPr>
        <w:t>1г., тъй като предлаганите с тях правила за заплащане на лекарствени продукти с публичен ресурс имат пряко финансово въздействие върху бюджета на НЗОК и неговото разходване по оптимален начин.</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По разпореждане на министъра на здравеопазването и искане от Върховната административна прокуратура за произнасяне по сигнал от управителя на Националната здравноосигурителна каса (НЗОК) към 15.01.2020 г. относно формирането на цени на заплащани с публични средства лекарствени продукти, бяха извършени проверки от компетентния орган – Националния съвет по цени и реимбурсиране на лекарствените продукти (Съвета). Успоредни дистанционни проверки са извършвани и от Националната агенция за приходите. Анализите на Съвета показват големи отклонения от стойността, по която лечебни заведения отчитат лекарствени продукти. Същото е констатирано и от НЗОК за заплащани от нея лекарствени продукти. Именно наличието на подобни дисбаланси е причина за разработване на настоящите законодателни предложения. </w:t>
      </w:r>
    </w:p>
    <w:p w:rsidR="00AD727F"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Необходимо е регламентиране на ефективни механизми, които да гарантират, че цените на лекарствените продукти, заплащани с публични средства, се формират на принципите на максимална прозрачност и ефективност. Конкуренцията безспорно е основен фактор за постигане на по-ниски цени на лекарствените продукти. Съществуват обаче и лекарствени продукти без съответната конкурентна лекарствена възможност. Именно поради това предлагаме законови правила, които да минимизират дисбалансите. Това е целта на законопроекта в тази му част. Предлага се цените, на  които се закупуват такива лекарствени продукти (основно за онкологични заболявания), да отчитат най</w:t>
      </w:r>
      <w:r w:rsidR="00AD727F" w:rsidRPr="00CE440F">
        <w:rPr>
          <w:rFonts w:ascii="Times New Roman" w:eastAsia="Calibri" w:hAnsi="Times New Roman" w:cs="Times New Roman"/>
          <w:sz w:val="24"/>
          <w:szCs w:val="24"/>
        </w:rPr>
        <w:t>-</w:t>
      </w:r>
      <w:r w:rsidRPr="00CE440F">
        <w:rPr>
          <w:rFonts w:ascii="Times New Roman" w:eastAsia="Calibri" w:hAnsi="Times New Roman" w:cs="Times New Roman"/>
          <w:sz w:val="24"/>
          <w:szCs w:val="24"/>
        </w:rPr>
        <w:t xml:space="preserve"> ниската цена, постигната в резултат на централизираното договаряне чрез действащия Централен орган за покупки в сектор „Здравеопазване“ в лицето на министъра на здравеопазването. Ще бъде отчитана и стойността, на която съответният лекарствен продукт е доставен на лечебното</w:t>
      </w:r>
      <w:r w:rsidR="00AD727F" w:rsidRPr="00CE440F">
        <w:rPr>
          <w:rFonts w:ascii="Times New Roman" w:eastAsia="Calibri" w:hAnsi="Times New Roman" w:cs="Times New Roman"/>
          <w:sz w:val="24"/>
          <w:szCs w:val="24"/>
        </w:rPr>
        <w:t xml:space="preserve"> заведение и ще се заплаща по  </w:t>
      </w:r>
      <w:r w:rsidRPr="00CE440F">
        <w:rPr>
          <w:rFonts w:ascii="Times New Roman" w:eastAsia="Calibri" w:hAnsi="Times New Roman" w:cs="Times New Roman"/>
          <w:sz w:val="24"/>
          <w:szCs w:val="24"/>
        </w:rPr>
        <w:t>ниската цена, независимо дали лечебното заведение е възложител по ЗОП. По този начин ще се гарантира, че всички цени са формирани максимално прозра</w:t>
      </w:r>
      <w:r w:rsidR="00AD727F" w:rsidRPr="00CE440F">
        <w:rPr>
          <w:rFonts w:ascii="Times New Roman" w:eastAsia="Calibri" w:hAnsi="Times New Roman" w:cs="Times New Roman"/>
          <w:sz w:val="24"/>
          <w:szCs w:val="24"/>
        </w:rPr>
        <w:t>чно и съответно е потърсена най-</w:t>
      </w:r>
      <w:r w:rsidRPr="00CE440F">
        <w:rPr>
          <w:rFonts w:ascii="Times New Roman" w:eastAsia="Calibri" w:hAnsi="Times New Roman" w:cs="Times New Roman"/>
          <w:sz w:val="24"/>
          <w:szCs w:val="24"/>
        </w:rPr>
        <w:t xml:space="preserve">ниска цена чрез съответните горепосочени процедури. В резултат на това се очаква намаляване на публичните разходи за лекарствени продукти без това да повлияе негативно на достъпа на пациентите до тях, както и постигане на пълна прозрачност при ценообразуването. </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Финансовият анализ към момента на финализиране на процедурата, проведена от министъра на здравеопазването, в качеството му на Централен орган за покупки в сектор „Здравеопазване“, показва следното: След приключване на процедурата по Сключване на Рамкови споразумения за периода 01.01.2020 до 31.12.2021 г. чрез Електронната система за закупуване на противотуморни лекарствени продукти за нуждите на лечебните заведения в Република България, проведена от министъра на здравеопазването, в качеството му на Централен орган за покупки в сектор „Здравеопазване“ по заявените количества и позиции са достигнати цени, по-ниски от цените в Позитивния лекарствен списък. Към настоящия момент се провеждат още 5 обществени поръчки за сключване на рамкови споразумения от Централния орган за покупки в сектор „Здравеопазване“, в които са включени всички лекарствени продукти, заявени от лечебните заведения в Република България. В провежданите обществени поръчки има активно участие на търговците на едро с лекарствени продукти, поради което се очаква да бъде постигнато намаляване на цените. Договорените по рамкови споразумения цени са максимални цени, до които НЗОК ще заплаща и са достигнати въз основа на заявените от участващите лечебни заведения количества и лекарствени продукти. Очаква се тези цени да бъдат намалени допълнително след сключването на договори от лечебните заведения след провеждане на вътрешен конкурентен избор или отправена покана за допълване на офертите. С приемането на настоящия законопроект ще бъдат отчетени и заложените в него допълнителни финансови изисквания. В резултат от предложените промени се осигурява по</w:t>
      </w:r>
      <w:r w:rsidR="00073678" w:rsidRPr="00CE440F">
        <w:rPr>
          <w:rFonts w:ascii="Times New Roman" w:eastAsia="Calibri" w:hAnsi="Times New Roman" w:cs="Times New Roman"/>
          <w:sz w:val="24"/>
          <w:szCs w:val="24"/>
        </w:rPr>
        <w:t>-</w:t>
      </w:r>
      <w:r w:rsidRPr="00CE440F">
        <w:rPr>
          <w:rFonts w:ascii="Times New Roman" w:eastAsia="Calibri" w:hAnsi="Times New Roman" w:cs="Times New Roman"/>
          <w:sz w:val="24"/>
          <w:szCs w:val="24"/>
        </w:rPr>
        <w:t xml:space="preserve">голяма предвидимост за размера на разходите за лекарствени продукти, основно за лечение на злокачествени заболявания. Очаква се оптимално разходване на публичните разходи за съответните лекарствени продукти и възможност по-голям брой лица да имат достъп до необходимите за лечението им лекарствени продукти. Не се очаква промяна по отношение на пациентите, тъй като тези лекарствени продукти се заплащат напълно с публични средства и за пациентите техните цени са без значение. За лечебните заведения стойността на лекарствените продукти няма отражение върху медицинската дейност. Намалението на цените по договорите за доставка на лекарствени продукти, би могло да се отрази върху размера на краткосрочните/дългосрочните задължения на лечебните заведения към търговците на едро. Очаква се облекчаване в начина на провеждане на процедурите за закупуване на лекарствени продукти, както по отношение на време, тъй като същите ще се провеждат от лечебните заведения (когато те са възложители по ЗОП) по реда на вътрешния конкурентен избор или допълване на офертите, така и от гледна точка на ангажиране на административния капацитет на лечебните заведения. За търговците на едро въведената регулация ще доведе в някаква степен до намаление на приходите от продажбата на съответните лекарствени продукти, но в 3 същото време, по отношение на лекарствените продукти, заплащани от НЗОК, механизмът на процедурата, провеждана от министъра на здравеопазването, в качеството му на Централен орган за покупки в сектор „Здравеопазване“, дава възможност за предвидимост на количествата за дълъг период от време за всеки отделен лекарствен продукт в почти всички лечебни заведения в страната. Това обстоятелство осигурява възможност на търговците на едро да договарят по-добри условия и по-големи отстъпки с производителите/притежателите на разрешенията за употреба. Също така ще се постигне съществено намаляване на административната тежест, тъй като вземайки участие в процедурата, търговците на едро ще представят документи за допускане еднократно само в тази процедура, а за всяко следващо договаряне в двугодишния период на рамковото споразумение във всички участващи лечебни заведения ще представят само ценови оферти. </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В контекста на прецизиране на механизмите на заплащане на лекарствени продукти се предлага въвеждането на законово ниво на предвиденото вече в подзаконовата нормативна уредба задължение НЗОК да заплаща лекарствените продукти с ниво на заплащане 100 на сто на по-ниската стойност между тази, която е определена за заплащане с публични средства, съгласно ЗЛПХМ и стойността на която притежателите на разрешение за търговия на дребно с лекарствени продукти са заплатили съответните продукти на търговците на едро. Целта е ефективното и целесъобразно разходване на публичните средства, необходими за закупуването на лекарствени продукти и намиране на правилното систематично място на правилото, а именно в закон. Това е така, тъй като съобразно трайната практика принципите за определяне на стойностите, на които се заплащат лекарствени продукти с публични средства, се определят в закон. В резултат от предложената разпоредба няма да настъпи промяна в действащите сега обществени отношения в тази област. Предложенията са съобразени с принципите на чл. 20, 2, 4, 5, 6 от Закона за публичните финанси. По силата на тези разпоредби публичните финанси се разходват при спазване на следните принципи: </w:t>
      </w:r>
    </w:p>
    <w:p w:rsidR="0059486E" w:rsidRPr="00CE440F" w:rsidRDefault="008C0876" w:rsidP="0059486E">
      <w:pPr>
        <w:pStyle w:val="ListParagraph"/>
        <w:numPr>
          <w:ilvl w:val="0"/>
          <w:numId w:val="11"/>
        </w:numPr>
        <w:tabs>
          <w:tab w:val="left" w:pos="567"/>
          <w:tab w:val="left" w:pos="1134"/>
        </w:tabs>
        <w:spacing w:after="0" w:line="240" w:lineRule="auto"/>
        <w:ind w:left="0" w:firstLine="786"/>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отговорност, а именно по начин, който гарантира отговорността на разпоредителите с бюджети; </w:t>
      </w:r>
    </w:p>
    <w:p w:rsidR="0059486E" w:rsidRPr="00CE440F" w:rsidRDefault="008C0876" w:rsidP="0059486E">
      <w:pPr>
        <w:pStyle w:val="ListParagraph"/>
        <w:numPr>
          <w:ilvl w:val="0"/>
          <w:numId w:val="11"/>
        </w:numPr>
        <w:tabs>
          <w:tab w:val="left" w:pos="567"/>
          <w:tab w:val="left" w:pos="1134"/>
        </w:tabs>
        <w:spacing w:after="0" w:line="240" w:lineRule="auto"/>
        <w:ind w:left="0" w:firstLine="786"/>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икономичност, а именно, придобиването с най-малки разходи на необходимите ресурси за осъществяване дейността на МЗ и НЗОК при спазване на изискванията за качество на лекарствените продукти; </w:t>
      </w:r>
    </w:p>
    <w:p w:rsidR="0059486E" w:rsidRPr="00CE440F" w:rsidRDefault="008C0876" w:rsidP="0059486E">
      <w:pPr>
        <w:pStyle w:val="ListParagraph"/>
        <w:numPr>
          <w:ilvl w:val="0"/>
          <w:numId w:val="11"/>
        </w:numPr>
        <w:tabs>
          <w:tab w:val="left" w:pos="567"/>
          <w:tab w:val="left" w:pos="1134"/>
        </w:tabs>
        <w:spacing w:after="0" w:line="240" w:lineRule="auto"/>
        <w:ind w:left="0" w:firstLine="786"/>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ефикасност, а именно постигането на максимални резултати от използваните ресурси при осъществяване дейността на МЗ и НЗОК; </w:t>
      </w:r>
    </w:p>
    <w:p w:rsidR="008C0876" w:rsidRPr="00CE440F" w:rsidRDefault="008C0876" w:rsidP="0059486E">
      <w:pPr>
        <w:pStyle w:val="ListParagraph"/>
        <w:numPr>
          <w:ilvl w:val="0"/>
          <w:numId w:val="11"/>
        </w:numPr>
        <w:tabs>
          <w:tab w:val="left" w:pos="567"/>
          <w:tab w:val="left" w:pos="1134"/>
        </w:tabs>
        <w:spacing w:after="0" w:line="240" w:lineRule="auto"/>
        <w:ind w:left="0" w:firstLine="786"/>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ефективност, а именно степента на постигане целите на МЗ и НЗОК при съпоставяне на действителните и очакваните резултати от заплащането на лекарствените продукти на по – ниски цени.</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p>
    <w:p w:rsidR="008C0876" w:rsidRPr="00CE440F" w:rsidRDefault="00073678" w:rsidP="00073678">
      <w:pPr>
        <w:tabs>
          <w:tab w:val="left" w:pos="709"/>
        </w:tabs>
        <w:spacing w:after="0" w:line="240" w:lineRule="auto"/>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ab/>
      </w:r>
      <w:r w:rsidR="008C0876" w:rsidRPr="00CE440F">
        <w:rPr>
          <w:rFonts w:ascii="Times New Roman" w:eastAsia="Calibri" w:hAnsi="Times New Roman" w:cs="Times New Roman"/>
          <w:sz w:val="24"/>
          <w:szCs w:val="24"/>
        </w:rPr>
        <w:t xml:space="preserve">Друго предложение, свързано с лекарствените продукти, заплащани от НЗОК, е да се удължи срокът за ежегодното сключване на договори между НЗОК и притежателите на разрешения за употреба/техните упълномощени представители за прилагане спрямо лекарствените продукти и разходите на НЗОК за тях на механизъм, гарантиращ предвидимост и устойчивост на бюджета на НЗОК. Предложението е срокът да се удължи с 1 месец, т.е. </w:t>
      </w:r>
      <w:r w:rsidR="00A00244" w:rsidRPr="00CE440F">
        <w:rPr>
          <w:rFonts w:ascii="Times New Roman" w:eastAsia="Calibri" w:hAnsi="Times New Roman" w:cs="Times New Roman"/>
          <w:sz w:val="24"/>
          <w:szCs w:val="24"/>
        </w:rPr>
        <w:t xml:space="preserve">крайният срок </w:t>
      </w:r>
      <w:r w:rsidR="008C0876" w:rsidRPr="00CE440F">
        <w:rPr>
          <w:rFonts w:ascii="Times New Roman" w:eastAsia="Calibri" w:hAnsi="Times New Roman" w:cs="Times New Roman"/>
          <w:sz w:val="24"/>
          <w:szCs w:val="24"/>
        </w:rPr>
        <w:t>да се промени от „до 1 март“ на „до 1 април“. Същото е продиктувано от установени от НЗОК трудности при прилагането на закона през 2020г. и спазването на преклузивния срок за сключване на договорите до 1 март, предвид големия брой договорни партньори – над 200 притежатели на разрешения за употреба и над 2000 лекарствени продукти, реимбурсирани от НЗОК. Целта е да се осигури оптимално технологично време и гарантиране сключването на договорите в законоустановен срок, за да не се стига до прилагане на нормата, съгласно която лекарствени продукти, за които не са сключени договори до 1 март, не се заплащат от НЗОК.</w:t>
      </w: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p>
    <w:p w:rsidR="008C0876" w:rsidRPr="00CE440F" w:rsidRDefault="008C0876" w:rsidP="00DD03C1">
      <w:pPr>
        <w:spacing w:after="0" w:line="240" w:lineRule="auto"/>
        <w:ind w:firstLine="709"/>
        <w:jc w:val="both"/>
        <w:rPr>
          <w:rFonts w:ascii="Times New Roman" w:eastAsia="Calibri" w:hAnsi="Times New Roman" w:cs="Times New Roman"/>
          <w:sz w:val="24"/>
          <w:szCs w:val="24"/>
        </w:rPr>
      </w:pPr>
      <w:r w:rsidRPr="00CE440F">
        <w:rPr>
          <w:rFonts w:ascii="Times New Roman" w:eastAsia="Calibri" w:hAnsi="Times New Roman" w:cs="Times New Roman"/>
          <w:sz w:val="24"/>
          <w:szCs w:val="24"/>
        </w:rPr>
        <w:t xml:space="preserve">Последното предложение е свързано с оптимизиране на правилата за заплащане от НЗОК на лекарствени продукти, регламентирани в ЗЗО, е лекарствените продукти с нови международни непатентни наименования, включени в Позитивния лекарствен списък </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ПЛС</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 xml:space="preserve"> в периода между внасянето от управителя на НЗОК в МС на проект на закон за бюджета на НЗОК за следващата година и 31 декември на текущата година, да се заплащат от НЗОК от по-следващата година. Предложението е продиктувано от обстоятелството, че след изготвяне на проект на закон за бюджета на НЗОК за следващата година и внасянето му по съответния ред, ежегодно в периода октомври, ноември и декември на текущата година, ПЛС се включват значителен брой лекарствени продукти </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иновативни технологии, в повечето случаи с висока стойност на терапията с тях</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 xml:space="preserve">, като високите прогнозни разходи на НЗОК за тях за първата година от реимбурсацията им обективно не могат да се вземат предвид при определяне на бюджета на НЗОК за лекарствени продукти за следващата календарна година </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тъй като включването им в ПЛС следва изготвяне на законопроекта за бюджета за следващата календарна година</w:t>
      </w:r>
      <w:r w:rsidRPr="00CE440F">
        <w:rPr>
          <w:rFonts w:ascii="Times New Roman" w:eastAsia="Calibri" w:hAnsi="Times New Roman" w:cs="Times New Roman"/>
          <w:sz w:val="24"/>
          <w:szCs w:val="24"/>
          <w:lang w:val="en-US"/>
        </w:rPr>
        <w:t>)</w:t>
      </w:r>
      <w:r w:rsidRPr="00CE440F">
        <w:rPr>
          <w:rFonts w:ascii="Times New Roman" w:eastAsia="Calibri" w:hAnsi="Times New Roman" w:cs="Times New Roman"/>
          <w:sz w:val="24"/>
          <w:szCs w:val="24"/>
        </w:rPr>
        <w:t>. Целта е прогнозните разходи за лекарствените продукти, включени в ПЛС през посочения период, да се вземат предвид при изготвяне през следващата година на бюджетната рамка за лекарствени продукти за по-следващата година, и съответно лекарствените продукти да се заплащат от по-следващата година. По този начин ще се гарантира, че за по-следващата година ще се приеме един реалистичен бюджет за лекарствени продукти, който ще може да съответства в значителна степен на реалните разходи на НЗОК за лекарства.</w:t>
      </w:r>
    </w:p>
    <w:p w:rsidR="0064370F" w:rsidRPr="00CE440F" w:rsidRDefault="0064370F" w:rsidP="0064370F">
      <w:pPr>
        <w:spacing w:after="0" w:line="240" w:lineRule="auto"/>
        <w:ind w:firstLine="709"/>
        <w:jc w:val="both"/>
        <w:rPr>
          <w:rFonts w:ascii="Times New Roman" w:eastAsia="Calibri" w:hAnsi="Times New Roman" w:cs="Times New Roman"/>
          <w:b/>
          <w:sz w:val="24"/>
          <w:szCs w:val="24"/>
        </w:rPr>
      </w:pPr>
    </w:p>
    <w:p w:rsidR="0064370F" w:rsidRPr="00CE440F" w:rsidRDefault="003D4502" w:rsidP="003D4502">
      <w:pPr>
        <w:spacing w:after="0" w:line="240" w:lineRule="auto"/>
        <w:ind w:firstLine="708"/>
        <w:jc w:val="both"/>
        <w:rPr>
          <w:rFonts w:ascii="Times New Roman" w:eastAsia="Calibri" w:hAnsi="Times New Roman" w:cs="Times New Roman"/>
          <w:b/>
          <w:sz w:val="24"/>
          <w:szCs w:val="24"/>
        </w:rPr>
      </w:pPr>
      <w:r w:rsidRPr="00CE440F">
        <w:rPr>
          <w:rFonts w:ascii="Times New Roman" w:eastAsia="Times New Roman" w:hAnsi="Times New Roman" w:cs="Times New Roman"/>
          <w:sz w:val="24"/>
          <w:szCs w:val="24"/>
          <w:lang w:eastAsia="bg-BG"/>
        </w:rPr>
        <w:t xml:space="preserve">Предлага се </w:t>
      </w:r>
      <w:r w:rsidR="00F702EE" w:rsidRPr="00CE440F">
        <w:rPr>
          <w:rFonts w:ascii="Times New Roman" w:eastAsia="Times New Roman" w:hAnsi="Times New Roman" w:cs="Times New Roman"/>
          <w:sz w:val="24"/>
          <w:szCs w:val="24"/>
          <w:lang w:eastAsia="bg-BG"/>
        </w:rPr>
        <w:t>въвежда</w:t>
      </w:r>
      <w:r w:rsidRPr="00CE440F">
        <w:rPr>
          <w:rFonts w:ascii="Times New Roman" w:eastAsia="Times New Roman" w:hAnsi="Times New Roman" w:cs="Times New Roman"/>
          <w:sz w:val="24"/>
          <w:szCs w:val="24"/>
          <w:lang w:eastAsia="bg-BG"/>
        </w:rPr>
        <w:t>нето на</w:t>
      </w:r>
      <w:r w:rsidR="00F702EE" w:rsidRPr="00CE440F">
        <w:rPr>
          <w:rFonts w:ascii="Times New Roman" w:eastAsia="Times New Roman" w:hAnsi="Times New Roman" w:cs="Times New Roman"/>
          <w:sz w:val="24"/>
          <w:szCs w:val="24"/>
          <w:lang w:eastAsia="bg-BG"/>
        </w:rPr>
        <w:t xml:space="preserve"> </w:t>
      </w:r>
      <w:r w:rsidR="0064370F" w:rsidRPr="00CE440F">
        <w:rPr>
          <w:rFonts w:ascii="Times New Roman" w:eastAsia="Calibri" w:hAnsi="Times New Roman" w:cs="Times New Roman"/>
          <w:sz w:val="24"/>
          <w:szCs w:val="24"/>
        </w:rPr>
        <w:t>механизъм за гарантиране изпълнението на бюджета на НЗОК за медицински изделия, заплащани напълно в условията</w:t>
      </w:r>
      <w:r w:rsidRPr="00CE440F">
        <w:rPr>
          <w:rFonts w:ascii="Times New Roman" w:eastAsia="Calibri" w:hAnsi="Times New Roman" w:cs="Times New Roman"/>
          <w:sz w:val="24"/>
          <w:szCs w:val="24"/>
        </w:rPr>
        <w:t xml:space="preserve"> на болничната медицинска помощ,</w:t>
      </w:r>
      <w:r w:rsidRPr="00CE440F">
        <w:rPr>
          <w:rFonts w:ascii="Times New Roman" w:eastAsia="Calibri" w:hAnsi="Times New Roman" w:cs="Times New Roman"/>
          <w:b/>
          <w:sz w:val="24"/>
          <w:szCs w:val="24"/>
        </w:rPr>
        <w:t xml:space="preserve"> </w:t>
      </w:r>
      <w:r w:rsidR="0064370F" w:rsidRPr="00CE440F">
        <w:rPr>
          <w:rFonts w:ascii="Times New Roman" w:eastAsia="Calibri" w:hAnsi="Times New Roman" w:cs="Times New Roman"/>
          <w:sz w:val="24"/>
          <w:szCs w:val="24"/>
        </w:rPr>
        <w:t>като дългосрочна мярка за законосъобразно разходване на бюджетни средства, предназначени за медицинските изделия, заплащани напълно в условията на болничната медицинска помощ, съгласно Закона за бюджета на НЗОК. Мярката ще бъде приложена при наличие на ръст на разходите за тези медицински изделия спрямо същия период през предходната година и ще осигури възможността бюджетните разходи за тях да не се увеличават спрямо предварително направените разчети. Чрез тази мярка ще се осигури разпределяне на тежестта от прилагането й върху всички участващи търговци на едро, сключили договор с НЗОК за доставка и разпространение на медицински изделия от определена група или подгрупа медицински изделия, без да се ограничава достъпа до лечение на здравноосигурените лица.</w:t>
      </w:r>
    </w:p>
    <w:p w:rsidR="003D4502" w:rsidRPr="00CE440F" w:rsidRDefault="003D4502" w:rsidP="003D4502">
      <w:pPr>
        <w:keepNext/>
        <w:tabs>
          <w:tab w:val="left" w:pos="1134"/>
        </w:tabs>
        <w:spacing w:before="60" w:after="0" w:line="300" w:lineRule="atLeast"/>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b/>
          <w:sz w:val="24"/>
          <w:szCs w:val="24"/>
          <w:lang w:eastAsia="bg-BG"/>
        </w:rPr>
        <w:tab/>
      </w:r>
      <w:r w:rsidRPr="00CE440F">
        <w:rPr>
          <w:rFonts w:ascii="Times New Roman" w:eastAsia="Times New Roman" w:hAnsi="Times New Roman" w:cs="Times New Roman"/>
          <w:sz w:val="24"/>
          <w:szCs w:val="24"/>
          <w:lang w:eastAsia="bg-BG"/>
        </w:rPr>
        <w:t>Предлагат се</w:t>
      </w:r>
      <w:r w:rsidR="00AF42AC" w:rsidRPr="00CE440F">
        <w:rPr>
          <w:rFonts w:ascii="Times New Roman" w:eastAsia="Times New Roman" w:hAnsi="Times New Roman" w:cs="Times New Roman"/>
          <w:sz w:val="24"/>
          <w:szCs w:val="24"/>
          <w:lang w:eastAsia="bg-BG"/>
        </w:rPr>
        <w:t xml:space="preserve"> изменения в Закона за здравното осигуряване</w:t>
      </w:r>
      <w:r w:rsidRPr="00CE440F">
        <w:rPr>
          <w:rFonts w:ascii="Times New Roman" w:eastAsia="Times New Roman" w:hAnsi="Times New Roman" w:cs="Times New Roman"/>
          <w:sz w:val="24"/>
          <w:szCs w:val="24"/>
          <w:lang w:eastAsia="bg-BG"/>
        </w:rPr>
        <w:t xml:space="preserve"> относно </w:t>
      </w:r>
      <w:r w:rsidR="00AF42AC" w:rsidRPr="00CE440F">
        <w:rPr>
          <w:rFonts w:ascii="Times New Roman" w:eastAsia="Times New Roman" w:hAnsi="Times New Roman" w:cs="Times New Roman"/>
          <w:sz w:val="24"/>
          <w:szCs w:val="24"/>
          <w:lang w:eastAsia="bg-BG"/>
        </w:rPr>
        <w:t xml:space="preserve">реда за </w:t>
      </w:r>
      <w:r w:rsidRPr="00CE440F">
        <w:rPr>
          <w:rFonts w:ascii="Times New Roman" w:eastAsia="Times New Roman" w:hAnsi="Times New Roman" w:cs="Times New Roman"/>
          <w:sz w:val="24"/>
          <w:szCs w:val="24"/>
          <w:lang w:eastAsia="bg-BG"/>
        </w:rPr>
        <w:t>определяне на броя, седалищата и териториалния обхват на районните здравноосигурителни каси</w:t>
      </w:r>
      <w:r w:rsidR="00AF42AC" w:rsidRPr="00CE440F">
        <w:rPr>
          <w:rFonts w:ascii="Times New Roman" w:eastAsia="Times New Roman" w:hAnsi="Times New Roman" w:cs="Times New Roman"/>
          <w:sz w:val="24"/>
          <w:szCs w:val="24"/>
          <w:lang w:eastAsia="bg-BG"/>
        </w:rPr>
        <w:t xml:space="preserve">. С изменението се цели постигане на по-ефективна и по-добра координация на процесите. </w:t>
      </w:r>
    </w:p>
    <w:p w:rsidR="00F2041A" w:rsidRPr="00CE440F" w:rsidRDefault="003D4502" w:rsidP="00F2041A">
      <w:pPr>
        <w:keepNext/>
        <w:tabs>
          <w:tab w:val="left" w:pos="1134"/>
        </w:tabs>
        <w:spacing w:before="60" w:after="0" w:line="300" w:lineRule="atLeast"/>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ab/>
      </w:r>
      <w:r w:rsidR="00AF42AC" w:rsidRPr="00CE440F">
        <w:rPr>
          <w:rFonts w:ascii="Times New Roman" w:eastAsia="Times New Roman" w:hAnsi="Times New Roman" w:cs="Times New Roman"/>
          <w:sz w:val="24"/>
          <w:szCs w:val="24"/>
          <w:lang w:eastAsia="bg-BG"/>
        </w:rPr>
        <w:t>Предлага</w:t>
      </w:r>
      <w:r w:rsidRPr="00CE440F">
        <w:rPr>
          <w:rFonts w:ascii="Times New Roman" w:eastAsia="Times New Roman" w:hAnsi="Times New Roman" w:cs="Times New Roman"/>
          <w:sz w:val="24"/>
          <w:szCs w:val="24"/>
          <w:lang w:eastAsia="bg-BG"/>
        </w:rPr>
        <w:t>т се изменения</w:t>
      </w:r>
      <w:r w:rsidR="00AF42AC" w:rsidRPr="00CE440F">
        <w:rPr>
          <w:rFonts w:ascii="Times New Roman" w:eastAsia="Times New Roman" w:hAnsi="Times New Roman" w:cs="Times New Roman"/>
          <w:sz w:val="24"/>
          <w:szCs w:val="24"/>
          <w:lang w:eastAsia="bg-BG"/>
        </w:rPr>
        <w:t xml:space="preserve"> </w:t>
      </w:r>
      <w:r w:rsidRPr="00CE440F">
        <w:rPr>
          <w:rFonts w:ascii="Times New Roman" w:eastAsia="Times New Roman" w:hAnsi="Times New Roman" w:cs="Times New Roman"/>
          <w:sz w:val="24"/>
          <w:szCs w:val="24"/>
          <w:lang w:eastAsia="bg-BG"/>
        </w:rPr>
        <w:t xml:space="preserve">в </w:t>
      </w:r>
      <w:r w:rsidR="00B0315C" w:rsidRPr="00CE440F">
        <w:rPr>
          <w:rFonts w:ascii="Times New Roman" w:eastAsia="Times New Roman" w:hAnsi="Times New Roman" w:cs="Times New Roman"/>
          <w:sz w:val="24"/>
          <w:szCs w:val="24"/>
          <w:lang w:eastAsia="bg-BG"/>
        </w:rPr>
        <w:t>чл. 72,</w:t>
      </w:r>
      <w:r w:rsidR="00AF42AC" w:rsidRPr="00CE440F">
        <w:rPr>
          <w:rFonts w:ascii="Times New Roman" w:eastAsia="Times New Roman" w:hAnsi="Times New Roman" w:cs="Times New Roman"/>
          <w:sz w:val="24"/>
          <w:szCs w:val="24"/>
          <w:lang w:eastAsia="bg-BG"/>
        </w:rPr>
        <w:t xml:space="preserve"> от ЗЗО, </w:t>
      </w:r>
      <w:r w:rsidRPr="00CE440F">
        <w:rPr>
          <w:rFonts w:ascii="Times New Roman" w:eastAsia="Times New Roman" w:hAnsi="Times New Roman" w:cs="Times New Roman"/>
          <w:sz w:val="24"/>
          <w:szCs w:val="24"/>
          <w:lang w:eastAsia="bg-BG"/>
        </w:rPr>
        <w:t>свързани с</w:t>
      </w:r>
      <w:r w:rsidR="00AF42AC" w:rsidRPr="00CE440F">
        <w:rPr>
          <w:rFonts w:ascii="Times New Roman" w:eastAsia="Times New Roman" w:hAnsi="Times New Roman" w:cs="Times New Roman"/>
          <w:sz w:val="24"/>
          <w:szCs w:val="24"/>
          <w:lang w:eastAsia="bg-BG"/>
        </w:rPr>
        <w:t xml:space="preserve"> възможностите за подаване на жалби от здравноосигурените лица при оказване на медицинска помощ. С промяната се цели да </w:t>
      </w:r>
      <w:r w:rsidR="00B0315C" w:rsidRPr="00CE440F">
        <w:rPr>
          <w:rFonts w:ascii="Times New Roman" w:eastAsia="Times New Roman" w:hAnsi="Times New Roman" w:cs="Times New Roman"/>
          <w:sz w:val="24"/>
          <w:szCs w:val="24"/>
          <w:lang w:eastAsia="bg-BG"/>
        </w:rPr>
        <w:t xml:space="preserve">отпаднат ограничителните срокове за подаване на жалби от здравноосигурените лица при предоставянето на медицинска помощ и да </w:t>
      </w:r>
      <w:r w:rsidR="00AF42AC" w:rsidRPr="00CE440F">
        <w:rPr>
          <w:rFonts w:ascii="Times New Roman" w:eastAsia="Times New Roman" w:hAnsi="Times New Roman" w:cs="Times New Roman"/>
          <w:sz w:val="24"/>
          <w:szCs w:val="24"/>
          <w:lang w:eastAsia="bg-BG"/>
        </w:rPr>
        <w:t xml:space="preserve">се постигне адекватна защита на </w:t>
      </w:r>
      <w:r w:rsidR="00B0315C" w:rsidRPr="00CE440F">
        <w:rPr>
          <w:rFonts w:ascii="Times New Roman" w:eastAsia="Times New Roman" w:hAnsi="Times New Roman" w:cs="Times New Roman"/>
          <w:sz w:val="24"/>
          <w:szCs w:val="24"/>
          <w:lang w:eastAsia="bg-BG"/>
        </w:rPr>
        <w:t xml:space="preserve"> техните  права и интереси.</w:t>
      </w:r>
    </w:p>
    <w:p w:rsidR="00F2041A" w:rsidRPr="00CE440F" w:rsidRDefault="00F2041A" w:rsidP="00F2041A">
      <w:pPr>
        <w:keepNext/>
        <w:tabs>
          <w:tab w:val="left" w:pos="1134"/>
        </w:tabs>
        <w:spacing w:before="60" w:after="0" w:line="300" w:lineRule="atLeast"/>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sz w:val="24"/>
          <w:szCs w:val="24"/>
          <w:lang w:eastAsia="bg-BG"/>
        </w:rPr>
        <w:tab/>
      </w:r>
    </w:p>
    <w:p w:rsidR="001825A2" w:rsidRPr="00CE440F" w:rsidRDefault="00F2041A" w:rsidP="00F2041A">
      <w:pPr>
        <w:keepNext/>
        <w:tabs>
          <w:tab w:val="left" w:pos="1134"/>
        </w:tabs>
        <w:spacing w:before="60" w:after="0" w:line="300" w:lineRule="atLeast"/>
        <w:ind w:firstLine="709"/>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b/>
          <w:sz w:val="24"/>
          <w:szCs w:val="24"/>
          <w:lang w:eastAsia="bg-BG"/>
        </w:rPr>
        <w:t xml:space="preserve">4. </w:t>
      </w:r>
      <w:r w:rsidR="001825A2" w:rsidRPr="00CE440F">
        <w:rPr>
          <w:rFonts w:ascii="Times New Roman" w:eastAsia="Times New Roman" w:hAnsi="Times New Roman" w:cs="Times New Roman"/>
          <w:b/>
          <w:sz w:val="24"/>
          <w:szCs w:val="24"/>
          <w:lang w:eastAsia="bg-BG"/>
        </w:rPr>
        <w:t>С §2</w:t>
      </w:r>
      <w:r w:rsidR="00947E10">
        <w:rPr>
          <w:rFonts w:ascii="Times New Roman" w:eastAsia="Times New Roman" w:hAnsi="Times New Roman" w:cs="Times New Roman"/>
          <w:b/>
          <w:sz w:val="24"/>
          <w:szCs w:val="24"/>
          <w:lang w:eastAsia="bg-BG"/>
        </w:rPr>
        <w:t>2</w:t>
      </w:r>
      <w:r w:rsidR="001825A2" w:rsidRPr="00CE440F">
        <w:rPr>
          <w:rFonts w:ascii="Times New Roman" w:eastAsia="Times New Roman" w:hAnsi="Times New Roman" w:cs="Times New Roman"/>
          <w:sz w:val="24"/>
          <w:szCs w:val="24"/>
          <w:lang w:eastAsia="bg-BG"/>
        </w:rPr>
        <w:t xml:space="preserve"> се въвежда</w:t>
      </w:r>
      <w:r w:rsidR="00CE6944" w:rsidRPr="00CE440F">
        <w:rPr>
          <w:rFonts w:ascii="Times New Roman" w:eastAsia="Times New Roman" w:hAnsi="Times New Roman" w:cs="Times New Roman"/>
          <w:sz w:val="24"/>
          <w:szCs w:val="24"/>
          <w:lang w:eastAsia="bg-BG"/>
        </w:rPr>
        <w:t>т срокове за привеждане на подзаконовите нормативни актове – наредбата по чл.81, ал.3 от ЗЗ и</w:t>
      </w:r>
      <w:r w:rsidR="001825A2" w:rsidRPr="00CE440F">
        <w:rPr>
          <w:rFonts w:ascii="Times New Roman" w:eastAsia="Times New Roman" w:hAnsi="Times New Roman" w:cs="Times New Roman"/>
          <w:sz w:val="24"/>
          <w:szCs w:val="24"/>
          <w:lang w:eastAsia="bg-BG"/>
        </w:rPr>
        <w:t xml:space="preserve"> наредбата по чл.45, ал.2 от ЗЗО, </w:t>
      </w:r>
      <w:r w:rsidR="00CE6944" w:rsidRPr="00CE440F">
        <w:rPr>
          <w:rFonts w:ascii="Times New Roman" w:eastAsia="Times New Roman" w:hAnsi="Times New Roman" w:cs="Times New Roman"/>
          <w:sz w:val="24"/>
          <w:szCs w:val="24"/>
          <w:lang w:eastAsia="bg-BG"/>
        </w:rPr>
        <w:t xml:space="preserve">в съответствие с измененията на ЗЗО относно заплащане със средства от бюджета на НЗОК на здравни грижи, </w:t>
      </w:r>
      <w:r w:rsidR="001825A2" w:rsidRPr="00CE440F">
        <w:rPr>
          <w:rFonts w:ascii="Times New Roman" w:eastAsia="Times New Roman" w:hAnsi="Times New Roman" w:cs="Times New Roman"/>
          <w:sz w:val="24"/>
          <w:szCs w:val="24"/>
          <w:lang w:eastAsia="bg-BG"/>
        </w:rPr>
        <w:t>както и срок за сключване на Национален рамков договор за здравни грижи  2021 г. – 2022 г.</w:t>
      </w:r>
    </w:p>
    <w:p w:rsidR="00F702EE" w:rsidRPr="00CE440F" w:rsidRDefault="00F702EE" w:rsidP="00F702EE">
      <w:pPr>
        <w:keepNext/>
        <w:tabs>
          <w:tab w:val="left" w:pos="851"/>
          <w:tab w:val="left" w:pos="1134"/>
        </w:tabs>
        <w:spacing w:before="60" w:after="0" w:line="300" w:lineRule="atLeast"/>
        <w:jc w:val="both"/>
        <w:rPr>
          <w:rFonts w:ascii="Times New Roman" w:eastAsia="Times New Roman" w:hAnsi="Times New Roman" w:cs="Times New Roman"/>
          <w:b/>
          <w:sz w:val="24"/>
          <w:szCs w:val="24"/>
          <w:lang w:eastAsia="bg-BG"/>
        </w:rPr>
      </w:pPr>
    </w:p>
    <w:p w:rsidR="00826BAD" w:rsidRPr="00CE440F" w:rsidRDefault="001825A2" w:rsidP="00CE6944">
      <w:pPr>
        <w:pStyle w:val="ListParagraph"/>
        <w:keepNext/>
        <w:numPr>
          <w:ilvl w:val="0"/>
          <w:numId w:val="14"/>
        </w:numPr>
        <w:tabs>
          <w:tab w:val="left" w:pos="851"/>
          <w:tab w:val="left" w:pos="1134"/>
        </w:tabs>
        <w:spacing w:before="60" w:after="0" w:line="300" w:lineRule="atLeast"/>
        <w:ind w:left="0" w:firstLine="706"/>
        <w:jc w:val="both"/>
        <w:rPr>
          <w:rFonts w:ascii="Times New Roman" w:eastAsia="Times New Roman" w:hAnsi="Times New Roman" w:cs="Times New Roman"/>
          <w:sz w:val="24"/>
          <w:szCs w:val="24"/>
          <w:lang w:eastAsia="bg-BG"/>
        </w:rPr>
      </w:pPr>
      <w:r w:rsidRPr="00CE440F">
        <w:rPr>
          <w:rFonts w:ascii="Times New Roman" w:eastAsia="Times New Roman" w:hAnsi="Times New Roman" w:cs="Times New Roman"/>
          <w:b/>
          <w:sz w:val="24"/>
          <w:szCs w:val="24"/>
        </w:rPr>
        <w:t>С</w:t>
      </w:r>
      <w:r w:rsidR="00C27003" w:rsidRPr="00CE440F">
        <w:rPr>
          <w:rFonts w:ascii="Times New Roman" w:eastAsia="Times New Roman" w:hAnsi="Times New Roman" w:cs="Times New Roman"/>
          <w:b/>
          <w:sz w:val="24"/>
          <w:szCs w:val="24"/>
        </w:rPr>
        <w:t xml:space="preserve"> §2</w:t>
      </w:r>
      <w:r w:rsidR="00947E10">
        <w:rPr>
          <w:rFonts w:ascii="Times New Roman" w:eastAsia="Times New Roman" w:hAnsi="Times New Roman" w:cs="Times New Roman"/>
          <w:b/>
          <w:sz w:val="24"/>
          <w:szCs w:val="24"/>
        </w:rPr>
        <w:t>3</w:t>
      </w:r>
      <w:r w:rsidR="00C27003" w:rsidRPr="00CE440F">
        <w:rPr>
          <w:rFonts w:ascii="Times New Roman" w:eastAsia="Times New Roman" w:hAnsi="Times New Roman" w:cs="Times New Roman"/>
          <w:b/>
          <w:sz w:val="24"/>
          <w:szCs w:val="24"/>
        </w:rPr>
        <w:t xml:space="preserve"> </w:t>
      </w:r>
      <w:r w:rsidR="00C27003" w:rsidRPr="00CE440F">
        <w:rPr>
          <w:rFonts w:ascii="Times New Roman" w:eastAsia="Times New Roman" w:hAnsi="Times New Roman" w:cs="Times New Roman"/>
          <w:sz w:val="24"/>
          <w:szCs w:val="24"/>
        </w:rPr>
        <w:t xml:space="preserve">се предлага след 1 април 2021 г. управителят на НЗОК да </w:t>
      </w:r>
      <w:r w:rsidR="00CE6944" w:rsidRPr="00CE440F">
        <w:rPr>
          <w:rFonts w:ascii="Times New Roman" w:eastAsia="Times New Roman" w:hAnsi="Times New Roman" w:cs="Times New Roman"/>
          <w:sz w:val="24"/>
          <w:szCs w:val="24"/>
        </w:rPr>
        <w:t xml:space="preserve">има правна възможност да </w:t>
      </w:r>
      <w:r w:rsidR="00947E10">
        <w:rPr>
          <w:rFonts w:ascii="Times New Roman" w:eastAsia="Times New Roman" w:hAnsi="Times New Roman" w:cs="Times New Roman"/>
          <w:sz w:val="24"/>
          <w:szCs w:val="24"/>
        </w:rPr>
        <w:t xml:space="preserve">определи еднократно нов </w:t>
      </w:r>
      <w:r w:rsidR="00C27003" w:rsidRPr="00CE440F">
        <w:rPr>
          <w:rFonts w:ascii="Times New Roman" w:eastAsia="Times New Roman" w:hAnsi="Times New Roman" w:cs="Times New Roman"/>
          <w:sz w:val="24"/>
          <w:szCs w:val="24"/>
        </w:rPr>
        <w:t>размер на индивидуалните основни месечни заплати на служителите в администрацията на НЗОК, в рамките на разходите за персонал по този закон, независимо от извършените увеличения на месечните заплати през годината.</w:t>
      </w:r>
      <w:r w:rsidR="00CE6944" w:rsidRPr="00CE440F">
        <w:rPr>
          <w:rFonts w:ascii="Times New Roman" w:eastAsia="Times New Roman" w:hAnsi="Times New Roman" w:cs="Times New Roman"/>
          <w:sz w:val="24"/>
          <w:szCs w:val="24"/>
        </w:rPr>
        <w:t xml:space="preserve"> </w:t>
      </w:r>
      <w:r w:rsidR="00CE6944" w:rsidRPr="00CE440F">
        <w:rPr>
          <w:rFonts w:ascii="Times New Roman" w:eastAsia="Times New Roman" w:hAnsi="Times New Roman" w:cs="Times New Roman"/>
          <w:sz w:val="24"/>
          <w:szCs w:val="24"/>
          <w:lang w:eastAsia="bg-BG"/>
        </w:rPr>
        <w:t>Целите са да се осигури възможност за</w:t>
      </w:r>
      <w:r w:rsidR="00C27003" w:rsidRPr="00CE440F">
        <w:rPr>
          <w:rFonts w:ascii="Times New Roman" w:eastAsia="Times New Roman" w:hAnsi="Times New Roman" w:cs="Times New Roman"/>
          <w:sz w:val="24"/>
          <w:szCs w:val="24"/>
          <w:lang w:eastAsia="bg-BG"/>
        </w:rPr>
        <w:t xml:space="preserve"> балансиран</w:t>
      </w:r>
      <w:r w:rsidR="00CE6944" w:rsidRPr="00CE440F">
        <w:rPr>
          <w:rFonts w:ascii="Times New Roman" w:eastAsia="Times New Roman" w:hAnsi="Times New Roman" w:cs="Times New Roman"/>
          <w:sz w:val="24"/>
          <w:szCs w:val="24"/>
          <w:lang w:eastAsia="bg-BG"/>
        </w:rPr>
        <w:t>е</w:t>
      </w:r>
      <w:r w:rsidR="00C27003" w:rsidRPr="00CE440F">
        <w:rPr>
          <w:rFonts w:ascii="Times New Roman" w:eastAsia="Times New Roman" w:hAnsi="Times New Roman" w:cs="Times New Roman"/>
          <w:sz w:val="24"/>
          <w:szCs w:val="24"/>
          <w:lang w:eastAsia="bg-BG"/>
        </w:rPr>
        <w:t xml:space="preserve"> размера на индивидуалните основни месечни заплати на служителите за една и съща длъжност, предвид </w:t>
      </w:r>
      <w:r w:rsidR="00CE6944" w:rsidRPr="00CE440F">
        <w:rPr>
          <w:rFonts w:ascii="Times New Roman" w:eastAsia="Times New Roman" w:hAnsi="Times New Roman" w:cs="Times New Roman"/>
          <w:sz w:val="24"/>
          <w:szCs w:val="24"/>
          <w:lang w:eastAsia="bg-BG"/>
        </w:rPr>
        <w:t xml:space="preserve">техните </w:t>
      </w:r>
      <w:r w:rsidR="00C27003" w:rsidRPr="00CE440F">
        <w:rPr>
          <w:rFonts w:ascii="Times New Roman" w:eastAsia="Times New Roman" w:hAnsi="Times New Roman" w:cs="Times New Roman"/>
          <w:sz w:val="24"/>
          <w:szCs w:val="24"/>
          <w:lang w:eastAsia="bg-BG"/>
        </w:rPr>
        <w:t>функции, натовареност и отговорност</w:t>
      </w:r>
      <w:r w:rsidR="00CE6944" w:rsidRPr="00CE440F">
        <w:rPr>
          <w:rFonts w:ascii="Times New Roman" w:eastAsia="Times New Roman" w:hAnsi="Times New Roman" w:cs="Times New Roman"/>
          <w:sz w:val="24"/>
          <w:szCs w:val="24"/>
          <w:lang w:eastAsia="bg-BG"/>
        </w:rPr>
        <w:t xml:space="preserve">, както и </w:t>
      </w:r>
      <w:r w:rsidR="00C27003" w:rsidRPr="00CE440F">
        <w:rPr>
          <w:rFonts w:ascii="Times New Roman" w:eastAsia="Times New Roman" w:hAnsi="Times New Roman" w:cs="Times New Roman"/>
          <w:sz w:val="24"/>
          <w:szCs w:val="24"/>
          <w:lang w:eastAsia="bg-BG"/>
        </w:rPr>
        <w:t>въвеждане на по-справедлив размер на заплащане на служители, съобразно извършваните преки зад</w:t>
      </w:r>
      <w:r w:rsidR="006129E1" w:rsidRPr="00CE440F">
        <w:rPr>
          <w:rFonts w:ascii="Times New Roman" w:eastAsia="Times New Roman" w:hAnsi="Times New Roman" w:cs="Times New Roman"/>
          <w:sz w:val="24"/>
          <w:szCs w:val="24"/>
          <w:lang w:eastAsia="bg-BG"/>
        </w:rPr>
        <w:t>ължения и качеството на изпълне</w:t>
      </w:r>
      <w:r w:rsidR="00C27003" w:rsidRPr="00CE440F">
        <w:rPr>
          <w:rFonts w:ascii="Times New Roman" w:eastAsia="Times New Roman" w:hAnsi="Times New Roman" w:cs="Times New Roman"/>
          <w:sz w:val="24"/>
          <w:szCs w:val="24"/>
          <w:lang w:eastAsia="bg-BG"/>
        </w:rPr>
        <w:t>нието на заплатите.</w:t>
      </w:r>
    </w:p>
    <w:sectPr w:rsidR="00826BAD" w:rsidRPr="00CE440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8F8" w:rsidRDefault="003F68F8" w:rsidP="007516DF">
      <w:pPr>
        <w:spacing w:after="0" w:line="240" w:lineRule="auto"/>
      </w:pPr>
      <w:r>
        <w:separator/>
      </w:r>
    </w:p>
  </w:endnote>
  <w:endnote w:type="continuationSeparator" w:id="0">
    <w:p w:rsidR="003F68F8" w:rsidRDefault="003F68F8" w:rsidP="00751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Hebar">
    <w:altName w:val="Arial"/>
    <w:panose1 w:val="00000000000000000000"/>
    <w:charset w:val="00"/>
    <w:family w:val="swiss"/>
    <w:notTrueType/>
    <w:pitch w:val="variable"/>
    <w:sig w:usb0="00000003" w:usb1="00000000" w:usb2="00000000" w:usb3="00000000" w:csb0="00000001" w:csb1="00000000"/>
  </w:font>
  <w:font w:name="SimSun">
    <w:altName w:val="???????¡ìT?¡ìT???¡ìT?¨¬¡ì??¡ìT?"/>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988854"/>
      <w:docPartObj>
        <w:docPartGallery w:val="Page Numbers (Bottom of Page)"/>
        <w:docPartUnique/>
      </w:docPartObj>
    </w:sdtPr>
    <w:sdtEndPr>
      <w:rPr>
        <w:noProof/>
      </w:rPr>
    </w:sdtEndPr>
    <w:sdtContent>
      <w:p w:rsidR="00F93452" w:rsidRDefault="00F93452">
        <w:pPr>
          <w:pStyle w:val="Footer"/>
          <w:jc w:val="right"/>
        </w:pPr>
        <w:r>
          <w:fldChar w:fldCharType="begin"/>
        </w:r>
        <w:r>
          <w:instrText xml:space="preserve"> PAGE   \* MERGEFORMAT </w:instrText>
        </w:r>
        <w:r>
          <w:fldChar w:fldCharType="separate"/>
        </w:r>
        <w:r w:rsidR="000C15A4">
          <w:rPr>
            <w:noProof/>
          </w:rPr>
          <w:t>1</w:t>
        </w:r>
        <w:r>
          <w:rPr>
            <w:noProof/>
          </w:rPr>
          <w:fldChar w:fldCharType="end"/>
        </w:r>
      </w:p>
    </w:sdtContent>
  </w:sdt>
  <w:p w:rsidR="00F93452" w:rsidRDefault="00F93452">
    <w:pPr>
      <w:pStyle w:val="Footer"/>
    </w:pPr>
  </w:p>
  <w:p w:rsidR="00F93452" w:rsidRDefault="00F934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8F8" w:rsidRDefault="003F68F8" w:rsidP="007516DF">
      <w:pPr>
        <w:spacing w:after="0" w:line="240" w:lineRule="auto"/>
      </w:pPr>
      <w:r>
        <w:separator/>
      </w:r>
    </w:p>
  </w:footnote>
  <w:footnote w:type="continuationSeparator" w:id="0">
    <w:p w:rsidR="003F68F8" w:rsidRDefault="003F68F8" w:rsidP="007516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6059"/>
    <w:multiLevelType w:val="hybridMultilevel"/>
    <w:tmpl w:val="95E4C6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AB4FA1"/>
    <w:multiLevelType w:val="hybridMultilevel"/>
    <w:tmpl w:val="505078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AD180F"/>
    <w:multiLevelType w:val="hybridMultilevel"/>
    <w:tmpl w:val="896A307A"/>
    <w:lvl w:ilvl="0" w:tplc="8E86356A">
      <w:start w:val="1"/>
      <w:numFmt w:val="decimal"/>
      <w:lvlText w:val="%1."/>
      <w:lvlJc w:val="left"/>
      <w:pPr>
        <w:ind w:left="1789" w:hanging="108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BBD0372"/>
    <w:multiLevelType w:val="hybridMultilevel"/>
    <w:tmpl w:val="2184123C"/>
    <w:lvl w:ilvl="0" w:tplc="4C64F64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168F1A2D"/>
    <w:multiLevelType w:val="hybridMultilevel"/>
    <w:tmpl w:val="B56EDD84"/>
    <w:lvl w:ilvl="0" w:tplc="F5F443B0">
      <w:start w:val="2"/>
      <w:numFmt w:val="bullet"/>
      <w:lvlText w:val="-"/>
      <w:lvlJc w:val="left"/>
      <w:pPr>
        <w:ind w:left="1146" w:hanging="360"/>
      </w:pPr>
      <w:rPr>
        <w:rFonts w:ascii="Times New Roman" w:eastAsia="Times New Roman" w:hAnsi="Times New Roman" w:cs="Times New Roman" w:hint="default"/>
        <w:sz w:val="22"/>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nsid w:val="1AE02C0C"/>
    <w:multiLevelType w:val="hybridMultilevel"/>
    <w:tmpl w:val="9730B8A4"/>
    <w:lvl w:ilvl="0" w:tplc="0402000D">
      <w:start w:val="1"/>
      <w:numFmt w:val="bullet"/>
      <w:lvlText w:val=""/>
      <w:lvlJc w:val="left"/>
      <w:pPr>
        <w:ind w:left="3479" w:hanging="360"/>
      </w:pPr>
      <w:rPr>
        <w:rFonts w:ascii="Wingdings" w:hAnsi="Wingdings" w:hint="default"/>
      </w:rPr>
    </w:lvl>
    <w:lvl w:ilvl="1" w:tplc="04020003" w:tentative="1">
      <w:start w:val="1"/>
      <w:numFmt w:val="bullet"/>
      <w:lvlText w:val="o"/>
      <w:lvlJc w:val="left"/>
      <w:pPr>
        <w:ind w:left="3691" w:hanging="360"/>
      </w:pPr>
      <w:rPr>
        <w:rFonts w:ascii="Courier New" w:hAnsi="Courier New" w:cs="Courier New" w:hint="default"/>
      </w:rPr>
    </w:lvl>
    <w:lvl w:ilvl="2" w:tplc="04020005" w:tentative="1">
      <w:start w:val="1"/>
      <w:numFmt w:val="bullet"/>
      <w:lvlText w:val=""/>
      <w:lvlJc w:val="left"/>
      <w:pPr>
        <w:ind w:left="4411" w:hanging="360"/>
      </w:pPr>
      <w:rPr>
        <w:rFonts w:ascii="Wingdings" w:hAnsi="Wingdings" w:hint="default"/>
      </w:rPr>
    </w:lvl>
    <w:lvl w:ilvl="3" w:tplc="04020001" w:tentative="1">
      <w:start w:val="1"/>
      <w:numFmt w:val="bullet"/>
      <w:lvlText w:val=""/>
      <w:lvlJc w:val="left"/>
      <w:pPr>
        <w:ind w:left="5131" w:hanging="360"/>
      </w:pPr>
      <w:rPr>
        <w:rFonts w:ascii="Symbol" w:hAnsi="Symbol" w:hint="default"/>
      </w:rPr>
    </w:lvl>
    <w:lvl w:ilvl="4" w:tplc="04020003" w:tentative="1">
      <w:start w:val="1"/>
      <w:numFmt w:val="bullet"/>
      <w:lvlText w:val="o"/>
      <w:lvlJc w:val="left"/>
      <w:pPr>
        <w:ind w:left="5851" w:hanging="360"/>
      </w:pPr>
      <w:rPr>
        <w:rFonts w:ascii="Courier New" w:hAnsi="Courier New" w:cs="Courier New" w:hint="default"/>
      </w:rPr>
    </w:lvl>
    <w:lvl w:ilvl="5" w:tplc="04020005" w:tentative="1">
      <w:start w:val="1"/>
      <w:numFmt w:val="bullet"/>
      <w:lvlText w:val=""/>
      <w:lvlJc w:val="left"/>
      <w:pPr>
        <w:ind w:left="6571" w:hanging="360"/>
      </w:pPr>
      <w:rPr>
        <w:rFonts w:ascii="Wingdings" w:hAnsi="Wingdings" w:hint="default"/>
      </w:rPr>
    </w:lvl>
    <w:lvl w:ilvl="6" w:tplc="04020001" w:tentative="1">
      <w:start w:val="1"/>
      <w:numFmt w:val="bullet"/>
      <w:lvlText w:val=""/>
      <w:lvlJc w:val="left"/>
      <w:pPr>
        <w:ind w:left="7291" w:hanging="360"/>
      </w:pPr>
      <w:rPr>
        <w:rFonts w:ascii="Symbol" w:hAnsi="Symbol" w:hint="default"/>
      </w:rPr>
    </w:lvl>
    <w:lvl w:ilvl="7" w:tplc="04020003" w:tentative="1">
      <w:start w:val="1"/>
      <w:numFmt w:val="bullet"/>
      <w:lvlText w:val="o"/>
      <w:lvlJc w:val="left"/>
      <w:pPr>
        <w:ind w:left="8011" w:hanging="360"/>
      </w:pPr>
      <w:rPr>
        <w:rFonts w:ascii="Courier New" w:hAnsi="Courier New" w:cs="Courier New" w:hint="default"/>
      </w:rPr>
    </w:lvl>
    <w:lvl w:ilvl="8" w:tplc="04020005" w:tentative="1">
      <w:start w:val="1"/>
      <w:numFmt w:val="bullet"/>
      <w:lvlText w:val=""/>
      <w:lvlJc w:val="left"/>
      <w:pPr>
        <w:ind w:left="8731" w:hanging="360"/>
      </w:pPr>
      <w:rPr>
        <w:rFonts w:ascii="Wingdings" w:hAnsi="Wingdings" w:hint="default"/>
      </w:rPr>
    </w:lvl>
  </w:abstractNum>
  <w:abstractNum w:abstractNumId="6">
    <w:nsid w:val="1AFD7FE6"/>
    <w:multiLevelType w:val="hybridMultilevel"/>
    <w:tmpl w:val="7BC48A7C"/>
    <w:lvl w:ilvl="0" w:tplc="13DA0B8C">
      <w:start w:val="4"/>
      <w:numFmt w:val="decimal"/>
      <w:lvlText w:val="%1."/>
      <w:lvlJc w:val="left"/>
      <w:pPr>
        <w:ind w:left="1068" w:hanging="360"/>
      </w:pPr>
      <w:rPr>
        <w:rFonts w:eastAsia="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1CC035C7"/>
    <w:multiLevelType w:val="hybridMultilevel"/>
    <w:tmpl w:val="099E4820"/>
    <w:lvl w:ilvl="0" w:tplc="A5EAA1DC">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
    <w:nsid w:val="257412F9"/>
    <w:multiLevelType w:val="hybridMultilevel"/>
    <w:tmpl w:val="4080D214"/>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26CF1A19"/>
    <w:multiLevelType w:val="hybridMultilevel"/>
    <w:tmpl w:val="E85A788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nsid w:val="2BC5538E"/>
    <w:multiLevelType w:val="hybridMultilevel"/>
    <w:tmpl w:val="56A683C0"/>
    <w:lvl w:ilvl="0" w:tplc="228A74C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320B0BB4"/>
    <w:multiLevelType w:val="hybridMultilevel"/>
    <w:tmpl w:val="E15AB96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nsid w:val="38304D48"/>
    <w:multiLevelType w:val="hybridMultilevel"/>
    <w:tmpl w:val="278ECEC2"/>
    <w:lvl w:ilvl="0" w:tplc="9B98C5BA">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nsid w:val="3DCC7772"/>
    <w:multiLevelType w:val="hybridMultilevel"/>
    <w:tmpl w:val="B5340B66"/>
    <w:lvl w:ilvl="0" w:tplc="9A48618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AC35E85"/>
    <w:multiLevelType w:val="multilevel"/>
    <w:tmpl w:val="2DE63E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83B072C"/>
    <w:multiLevelType w:val="hybridMultilevel"/>
    <w:tmpl w:val="B8DC68A6"/>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5D81787D"/>
    <w:multiLevelType w:val="hybridMultilevel"/>
    <w:tmpl w:val="3FC855CC"/>
    <w:lvl w:ilvl="0" w:tplc="2F961094">
      <w:start w:val="5"/>
      <w:numFmt w:val="decimal"/>
      <w:lvlText w:val="%1"/>
      <w:lvlJc w:val="left"/>
      <w:pPr>
        <w:ind w:left="1066" w:hanging="360"/>
      </w:pPr>
      <w:rPr>
        <w:rFonts w:hint="default"/>
        <w:b/>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17">
    <w:nsid w:val="655E06FC"/>
    <w:multiLevelType w:val="hybridMultilevel"/>
    <w:tmpl w:val="7DF48756"/>
    <w:lvl w:ilvl="0" w:tplc="08480D16">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5841FF9"/>
    <w:multiLevelType w:val="hybridMultilevel"/>
    <w:tmpl w:val="9930651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13"/>
  </w:num>
  <w:num w:numId="2">
    <w:abstractNumId w:val="14"/>
  </w:num>
  <w:num w:numId="3">
    <w:abstractNumId w:val="11"/>
  </w:num>
  <w:num w:numId="4">
    <w:abstractNumId w:val="18"/>
  </w:num>
  <w:num w:numId="5">
    <w:abstractNumId w:val="17"/>
  </w:num>
  <w:num w:numId="6">
    <w:abstractNumId w:val="15"/>
  </w:num>
  <w:num w:numId="7">
    <w:abstractNumId w:val="12"/>
  </w:num>
  <w:num w:numId="8">
    <w:abstractNumId w:val="0"/>
  </w:num>
  <w:num w:numId="9">
    <w:abstractNumId w:val="1"/>
  </w:num>
  <w:num w:numId="10">
    <w:abstractNumId w:val="5"/>
  </w:num>
  <w:num w:numId="11">
    <w:abstractNumId w:val="4"/>
  </w:num>
  <w:num w:numId="12">
    <w:abstractNumId w:val="9"/>
  </w:num>
  <w:num w:numId="13">
    <w:abstractNumId w:val="3"/>
  </w:num>
  <w:num w:numId="14">
    <w:abstractNumId w:val="10"/>
  </w:num>
  <w:num w:numId="15">
    <w:abstractNumId w:val="7"/>
  </w:num>
  <w:num w:numId="16">
    <w:abstractNumId w:val="6"/>
  </w:num>
  <w:num w:numId="17">
    <w:abstractNumId w:val="16"/>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2DC"/>
    <w:rsid w:val="00003093"/>
    <w:rsid w:val="00012B07"/>
    <w:rsid w:val="00022ABF"/>
    <w:rsid w:val="00024BF4"/>
    <w:rsid w:val="00025A3D"/>
    <w:rsid w:val="0002713F"/>
    <w:rsid w:val="00030C31"/>
    <w:rsid w:val="00033FC3"/>
    <w:rsid w:val="00037450"/>
    <w:rsid w:val="000411BB"/>
    <w:rsid w:val="00042198"/>
    <w:rsid w:val="00050AA3"/>
    <w:rsid w:val="00051FA3"/>
    <w:rsid w:val="00054C78"/>
    <w:rsid w:val="0005723F"/>
    <w:rsid w:val="00061A00"/>
    <w:rsid w:val="00073678"/>
    <w:rsid w:val="00076F8A"/>
    <w:rsid w:val="00077F51"/>
    <w:rsid w:val="000801AA"/>
    <w:rsid w:val="00081B8C"/>
    <w:rsid w:val="000833A5"/>
    <w:rsid w:val="00096175"/>
    <w:rsid w:val="00097974"/>
    <w:rsid w:val="000A1DCF"/>
    <w:rsid w:val="000A2244"/>
    <w:rsid w:val="000A42AF"/>
    <w:rsid w:val="000A50BF"/>
    <w:rsid w:val="000B0A43"/>
    <w:rsid w:val="000B4563"/>
    <w:rsid w:val="000B49A8"/>
    <w:rsid w:val="000B6F14"/>
    <w:rsid w:val="000B7F71"/>
    <w:rsid w:val="000C15A4"/>
    <w:rsid w:val="000C15E9"/>
    <w:rsid w:val="000C7A36"/>
    <w:rsid w:val="000D57D4"/>
    <w:rsid w:val="000F56C9"/>
    <w:rsid w:val="000F5CE4"/>
    <w:rsid w:val="001102BD"/>
    <w:rsid w:val="00111683"/>
    <w:rsid w:val="0011619D"/>
    <w:rsid w:val="00140FC6"/>
    <w:rsid w:val="00141269"/>
    <w:rsid w:val="00143475"/>
    <w:rsid w:val="00150515"/>
    <w:rsid w:val="001538D8"/>
    <w:rsid w:val="001603C1"/>
    <w:rsid w:val="0016069E"/>
    <w:rsid w:val="00165832"/>
    <w:rsid w:val="00167550"/>
    <w:rsid w:val="00167E20"/>
    <w:rsid w:val="00170264"/>
    <w:rsid w:val="00172B9D"/>
    <w:rsid w:val="00173D96"/>
    <w:rsid w:val="001813D9"/>
    <w:rsid w:val="001825A2"/>
    <w:rsid w:val="00183831"/>
    <w:rsid w:val="00183FF7"/>
    <w:rsid w:val="00185364"/>
    <w:rsid w:val="001A0EA3"/>
    <w:rsid w:val="001A4230"/>
    <w:rsid w:val="001B0A5C"/>
    <w:rsid w:val="001B1190"/>
    <w:rsid w:val="001B1DAA"/>
    <w:rsid w:val="001B2695"/>
    <w:rsid w:val="001B30EB"/>
    <w:rsid w:val="001B3C0F"/>
    <w:rsid w:val="001C35B7"/>
    <w:rsid w:val="001E757F"/>
    <w:rsid w:val="001F02A4"/>
    <w:rsid w:val="001F2190"/>
    <w:rsid w:val="001F24A4"/>
    <w:rsid w:val="00201ED5"/>
    <w:rsid w:val="00202302"/>
    <w:rsid w:val="00210330"/>
    <w:rsid w:val="0021454D"/>
    <w:rsid w:val="0021533A"/>
    <w:rsid w:val="0021777A"/>
    <w:rsid w:val="002219FA"/>
    <w:rsid w:val="00221E97"/>
    <w:rsid w:val="002220BB"/>
    <w:rsid w:val="00222C7F"/>
    <w:rsid w:val="002262FA"/>
    <w:rsid w:val="002319CC"/>
    <w:rsid w:val="002334AC"/>
    <w:rsid w:val="00236204"/>
    <w:rsid w:val="0024313E"/>
    <w:rsid w:val="00245814"/>
    <w:rsid w:val="002517FA"/>
    <w:rsid w:val="00255B39"/>
    <w:rsid w:val="00261685"/>
    <w:rsid w:val="00262A65"/>
    <w:rsid w:val="002712D0"/>
    <w:rsid w:val="00271BEA"/>
    <w:rsid w:val="00272193"/>
    <w:rsid w:val="00275A53"/>
    <w:rsid w:val="0027620C"/>
    <w:rsid w:val="00276998"/>
    <w:rsid w:val="002774E9"/>
    <w:rsid w:val="00280885"/>
    <w:rsid w:val="00281560"/>
    <w:rsid w:val="0028491C"/>
    <w:rsid w:val="00284EB2"/>
    <w:rsid w:val="00286120"/>
    <w:rsid w:val="002A0267"/>
    <w:rsid w:val="002A3CFB"/>
    <w:rsid w:val="002A448F"/>
    <w:rsid w:val="002A6C48"/>
    <w:rsid w:val="002B7E6D"/>
    <w:rsid w:val="002B7FD4"/>
    <w:rsid w:val="002C1905"/>
    <w:rsid w:val="002C55DA"/>
    <w:rsid w:val="002C6123"/>
    <w:rsid w:val="002C6F84"/>
    <w:rsid w:val="002D0438"/>
    <w:rsid w:val="002D67A4"/>
    <w:rsid w:val="002E4EB7"/>
    <w:rsid w:val="002F0EDE"/>
    <w:rsid w:val="002F42B7"/>
    <w:rsid w:val="002F4E81"/>
    <w:rsid w:val="002F703A"/>
    <w:rsid w:val="002F796E"/>
    <w:rsid w:val="003049E3"/>
    <w:rsid w:val="00305FE5"/>
    <w:rsid w:val="00306BA3"/>
    <w:rsid w:val="00310F44"/>
    <w:rsid w:val="00311811"/>
    <w:rsid w:val="003119F1"/>
    <w:rsid w:val="0031211A"/>
    <w:rsid w:val="0031550F"/>
    <w:rsid w:val="003157C6"/>
    <w:rsid w:val="00315DBA"/>
    <w:rsid w:val="00320960"/>
    <w:rsid w:val="00321A5A"/>
    <w:rsid w:val="003260FB"/>
    <w:rsid w:val="003269A3"/>
    <w:rsid w:val="00333B31"/>
    <w:rsid w:val="00333FD6"/>
    <w:rsid w:val="00336800"/>
    <w:rsid w:val="00341979"/>
    <w:rsid w:val="00345455"/>
    <w:rsid w:val="003476F4"/>
    <w:rsid w:val="003500E1"/>
    <w:rsid w:val="00350710"/>
    <w:rsid w:val="00353D80"/>
    <w:rsid w:val="00354451"/>
    <w:rsid w:val="00367890"/>
    <w:rsid w:val="00374ECB"/>
    <w:rsid w:val="00382549"/>
    <w:rsid w:val="00382C69"/>
    <w:rsid w:val="00387FCF"/>
    <w:rsid w:val="00392975"/>
    <w:rsid w:val="003930B2"/>
    <w:rsid w:val="00393DD1"/>
    <w:rsid w:val="0039494C"/>
    <w:rsid w:val="003B188B"/>
    <w:rsid w:val="003B6115"/>
    <w:rsid w:val="003C285E"/>
    <w:rsid w:val="003C7803"/>
    <w:rsid w:val="003D4502"/>
    <w:rsid w:val="003D5EA3"/>
    <w:rsid w:val="003E04CF"/>
    <w:rsid w:val="003E200A"/>
    <w:rsid w:val="003E3283"/>
    <w:rsid w:val="003E4D13"/>
    <w:rsid w:val="003E73A4"/>
    <w:rsid w:val="003F0A50"/>
    <w:rsid w:val="003F0BA1"/>
    <w:rsid w:val="003F0C31"/>
    <w:rsid w:val="003F20A6"/>
    <w:rsid w:val="003F3EB1"/>
    <w:rsid w:val="003F56B5"/>
    <w:rsid w:val="003F68F8"/>
    <w:rsid w:val="00402557"/>
    <w:rsid w:val="004047AB"/>
    <w:rsid w:val="004120FA"/>
    <w:rsid w:val="0041571E"/>
    <w:rsid w:val="00430763"/>
    <w:rsid w:val="004329DC"/>
    <w:rsid w:val="004450B5"/>
    <w:rsid w:val="00446618"/>
    <w:rsid w:val="004468B4"/>
    <w:rsid w:val="00446C0D"/>
    <w:rsid w:val="00447AF3"/>
    <w:rsid w:val="00451C73"/>
    <w:rsid w:val="00460052"/>
    <w:rsid w:val="00461854"/>
    <w:rsid w:val="00467B1E"/>
    <w:rsid w:val="00470612"/>
    <w:rsid w:val="00471758"/>
    <w:rsid w:val="0047715E"/>
    <w:rsid w:val="00482BBC"/>
    <w:rsid w:val="0048434C"/>
    <w:rsid w:val="004846E5"/>
    <w:rsid w:val="00496028"/>
    <w:rsid w:val="004A058C"/>
    <w:rsid w:val="004A2318"/>
    <w:rsid w:val="004A6702"/>
    <w:rsid w:val="004A6D61"/>
    <w:rsid w:val="004B3D23"/>
    <w:rsid w:val="004B4EE7"/>
    <w:rsid w:val="004B5CDD"/>
    <w:rsid w:val="004B78F1"/>
    <w:rsid w:val="004C14C5"/>
    <w:rsid w:val="004C4F98"/>
    <w:rsid w:val="004C64EB"/>
    <w:rsid w:val="004D073B"/>
    <w:rsid w:val="004D26DC"/>
    <w:rsid w:val="004D7288"/>
    <w:rsid w:val="004D74C7"/>
    <w:rsid w:val="004E0D94"/>
    <w:rsid w:val="004E45C4"/>
    <w:rsid w:val="004F516D"/>
    <w:rsid w:val="004F7A42"/>
    <w:rsid w:val="00500F74"/>
    <w:rsid w:val="00501913"/>
    <w:rsid w:val="005063B6"/>
    <w:rsid w:val="00512B22"/>
    <w:rsid w:val="005222E9"/>
    <w:rsid w:val="005249BC"/>
    <w:rsid w:val="0053132E"/>
    <w:rsid w:val="005514A0"/>
    <w:rsid w:val="00551F1F"/>
    <w:rsid w:val="00553925"/>
    <w:rsid w:val="00556306"/>
    <w:rsid w:val="00557542"/>
    <w:rsid w:val="00557FEE"/>
    <w:rsid w:val="005604A3"/>
    <w:rsid w:val="00560C2F"/>
    <w:rsid w:val="00565564"/>
    <w:rsid w:val="00565FD5"/>
    <w:rsid w:val="005673BB"/>
    <w:rsid w:val="005701B6"/>
    <w:rsid w:val="005721B4"/>
    <w:rsid w:val="00574479"/>
    <w:rsid w:val="005823AE"/>
    <w:rsid w:val="0059486E"/>
    <w:rsid w:val="005B4D89"/>
    <w:rsid w:val="005C1DE0"/>
    <w:rsid w:val="005C6676"/>
    <w:rsid w:val="005D2F1F"/>
    <w:rsid w:val="005D35A2"/>
    <w:rsid w:val="005E2142"/>
    <w:rsid w:val="005E2BD0"/>
    <w:rsid w:val="005E2EB3"/>
    <w:rsid w:val="005E498E"/>
    <w:rsid w:val="005E4A6A"/>
    <w:rsid w:val="005E56A0"/>
    <w:rsid w:val="005F2288"/>
    <w:rsid w:val="005F76DE"/>
    <w:rsid w:val="00600C45"/>
    <w:rsid w:val="006040B8"/>
    <w:rsid w:val="00606E4B"/>
    <w:rsid w:val="006129E1"/>
    <w:rsid w:val="006203C7"/>
    <w:rsid w:val="00620549"/>
    <w:rsid w:val="00624833"/>
    <w:rsid w:val="0063117D"/>
    <w:rsid w:val="0063386D"/>
    <w:rsid w:val="006338BC"/>
    <w:rsid w:val="00634073"/>
    <w:rsid w:val="0064370F"/>
    <w:rsid w:val="00644963"/>
    <w:rsid w:val="00645BB0"/>
    <w:rsid w:val="006563AE"/>
    <w:rsid w:val="00664E9B"/>
    <w:rsid w:val="00674C77"/>
    <w:rsid w:val="00675FFB"/>
    <w:rsid w:val="0067678A"/>
    <w:rsid w:val="00681876"/>
    <w:rsid w:val="00683CAE"/>
    <w:rsid w:val="006875D4"/>
    <w:rsid w:val="00694E36"/>
    <w:rsid w:val="006A31F9"/>
    <w:rsid w:val="006B49E7"/>
    <w:rsid w:val="006C3CC1"/>
    <w:rsid w:val="006C3FCD"/>
    <w:rsid w:val="006C4010"/>
    <w:rsid w:val="006D1CA6"/>
    <w:rsid w:val="006D36DC"/>
    <w:rsid w:val="006D3A20"/>
    <w:rsid w:val="006D6EEA"/>
    <w:rsid w:val="006D6FAC"/>
    <w:rsid w:val="006E2459"/>
    <w:rsid w:val="006E288F"/>
    <w:rsid w:val="006E5B02"/>
    <w:rsid w:val="006F6346"/>
    <w:rsid w:val="006F72B3"/>
    <w:rsid w:val="0070297D"/>
    <w:rsid w:val="00706D45"/>
    <w:rsid w:val="00712831"/>
    <w:rsid w:val="00720689"/>
    <w:rsid w:val="00723B70"/>
    <w:rsid w:val="00733D1D"/>
    <w:rsid w:val="00736448"/>
    <w:rsid w:val="0074210D"/>
    <w:rsid w:val="007431C3"/>
    <w:rsid w:val="00750454"/>
    <w:rsid w:val="0075092A"/>
    <w:rsid w:val="007516DF"/>
    <w:rsid w:val="00762215"/>
    <w:rsid w:val="00770C3B"/>
    <w:rsid w:val="007714DE"/>
    <w:rsid w:val="00773D29"/>
    <w:rsid w:val="00774296"/>
    <w:rsid w:val="00774561"/>
    <w:rsid w:val="00782B80"/>
    <w:rsid w:val="00783096"/>
    <w:rsid w:val="00790D9E"/>
    <w:rsid w:val="00791202"/>
    <w:rsid w:val="00795B8B"/>
    <w:rsid w:val="007A2C1A"/>
    <w:rsid w:val="007A335C"/>
    <w:rsid w:val="007A3FAC"/>
    <w:rsid w:val="007A58BF"/>
    <w:rsid w:val="007B2FBB"/>
    <w:rsid w:val="007B4EE6"/>
    <w:rsid w:val="007C2D08"/>
    <w:rsid w:val="007C66F0"/>
    <w:rsid w:val="007C7866"/>
    <w:rsid w:val="007D0AF1"/>
    <w:rsid w:val="007D5DFF"/>
    <w:rsid w:val="007D66B1"/>
    <w:rsid w:val="007D78FD"/>
    <w:rsid w:val="007E03E5"/>
    <w:rsid w:val="007E383F"/>
    <w:rsid w:val="007F5810"/>
    <w:rsid w:val="0080356F"/>
    <w:rsid w:val="00806128"/>
    <w:rsid w:val="00806843"/>
    <w:rsid w:val="00807D14"/>
    <w:rsid w:val="00812101"/>
    <w:rsid w:val="00813439"/>
    <w:rsid w:val="00815CDD"/>
    <w:rsid w:val="008178FB"/>
    <w:rsid w:val="0082304A"/>
    <w:rsid w:val="00826BAD"/>
    <w:rsid w:val="008331B3"/>
    <w:rsid w:val="00841202"/>
    <w:rsid w:val="0085292E"/>
    <w:rsid w:val="00853585"/>
    <w:rsid w:val="008603AC"/>
    <w:rsid w:val="008766DB"/>
    <w:rsid w:val="00876FAB"/>
    <w:rsid w:val="008855A4"/>
    <w:rsid w:val="00885C06"/>
    <w:rsid w:val="00885DE3"/>
    <w:rsid w:val="00893439"/>
    <w:rsid w:val="008948E1"/>
    <w:rsid w:val="008A0B4C"/>
    <w:rsid w:val="008A0D37"/>
    <w:rsid w:val="008A7649"/>
    <w:rsid w:val="008B24D9"/>
    <w:rsid w:val="008C0876"/>
    <w:rsid w:val="008C197D"/>
    <w:rsid w:val="008C1B80"/>
    <w:rsid w:val="008C28E2"/>
    <w:rsid w:val="008C4F7D"/>
    <w:rsid w:val="008E302D"/>
    <w:rsid w:val="008F6D39"/>
    <w:rsid w:val="008F733C"/>
    <w:rsid w:val="0090204F"/>
    <w:rsid w:val="00912F05"/>
    <w:rsid w:val="00917413"/>
    <w:rsid w:val="0092314D"/>
    <w:rsid w:val="00923C3B"/>
    <w:rsid w:val="00923EFF"/>
    <w:rsid w:val="00936D35"/>
    <w:rsid w:val="009411DB"/>
    <w:rsid w:val="00943C1D"/>
    <w:rsid w:val="00944D34"/>
    <w:rsid w:val="00947E10"/>
    <w:rsid w:val="009502C9"/>
    <w:rsid w:val="00950D26"/>
    <w:rsid w:val="0095426C"/>
    <w:rsid w:val="0096363C"/>
    <w:rsid w:val="009665F7"/>
    <w:rsid w:val="00974DA0"/>
    <w:rsid w:val="00976019"/>
    <w:rsid w:val="00984950"/>
    <w:rsid w:val="009873EF"/>
    <w:rsid w:val="00993911"/>
    <w:rsid w:val="009A2252"/>
    <w:rsid w:val="009A4A24"/>
    <w:rsid w:val="009C6178"/>
    <w:rsid w:val="009D1A58"/>
    <w:rsid w:val="009D1FA4"/>
    <w:rsid w:val="009D5EDA"/>
    <w:rsid w:val="009E2F72"/>
    <w:rsid w:val="009F0331"/>
    <w:rsid w:val="009F0764"/>
    <w:rsid w:val="00A00244"/>
    <w:rsid w:val="00A01699"/>
    <w:rsid w:val="00A04042"/>
    <w:rsid w:val="00A06B82"/>
    <w:rsid w:val="00A1159F"/>
    <w:rsid w:val="00A178CB"/>
    <w:rsid w:val="00A22FB5"/>
    <w:rsid w:val="00A2626F"/>
    <w:rsid w:val="00A2642D"/>
    <w:rsid w:val="00A3504D"/>
    <w:rsid w:val="00A51D9A"/>
    <w:rsid w:val="00A56E1D"/>
    <w:rsid w:val="00A61C6D"/>
    <w:rsid w:val="00A61DA9"/>
    <w:rsid w:val="00A63E79"/>
    <w:rsid w:val="00A66D92"/>
    <w:rsid w:val="00A679E3"/>
    <w:rsid w:val="00A76065"/>
    <w:rsid w:val="00A919EE"/>
    <w:rsid w:val="00A91DCF"/>
    <w:rsid w:val="00A934DD"/>
    <w:rsid w:val="00A974DD"/>
    <w:rsid w:val="00AB3527"/>
    <w:rsid w:val="00AB7CAD"/>
    <w:rsid w:val="00AC1746"/>
    <w:rsid w:val="00AC578D"/>
    <w:rsid w:val="00AD2348"/>
    <w:rsid w:val="00AD522A"/>
    <w:rsid w:val="00AD727F"/>
    <w:rsid w:val="00AD79DB"/>
    <w:rsid w:val="00AE1BFE"/>
    <w:rsid w:val="00AF1390"/>
    <w:rsid w:val="00AF3985"/>
    <w:rsid w:val="00AF42AC"/>
    <w:rsid w:val="00AF4461"/>
    <w:rsid w:val="00B005D6"/>
    <w:rsid w:val="00B0315C"/>
    <w:rsid w:val="00B046A7"/>
    <w:rsid w:val="00B37F2C"/>
    <w:rsid w:val="00B4004B"/>
    <w:rsid w:val="00B474BE"/>
    <w:rsid w:val="00B5339F"/>
    <w:rsid w:val="00B55DF7"/>
    <w:rsid w:val="00B656BB"/>
    <w:rsid w:val="00B6728D"/>
    <w:rsid w:val="00B74A42"/>
    <w:rsid w:val="00B77D70"/>
    <w:rsid w:val="00B83F45"/>
    <w:rsid w:val="00B92872"/>
    <w:rsid w:val="00B97153"/>
    <w:rsid w:val="00B97C35"/>
    <w:rsid w:val="00BA05CB"/>
    <w:rsid w:val="00BA12E7"/>
    <w:rsid w:val="00BA234D"/>
    <w:rsid w:val="00BB0FDD"/>
    <w:rsid w:val="00BB1BFE"/>
    <w:rsid w:val="00BB2A6D"/>
    <w:rsid w:val="00BC2AC6"/>
    <w:rsid w:val="00BD134F"/>
    <w:rsid w:val="00BD4C6A"/>
    <w:rsid w:val="00BD7CFD"/>
    <w:rsid w:val="00BE1F93"/>
    <w:rsid w:val="00BE510C"/>
    <w:rsid w:val="00BE78B8"/>
    <w:rsid w:val="00BF6F54"/>
    <w:rsid w:val="00C00C30"/>
    <w:rsid w:val="00C040AA"/>
    <w:rsid w:val="00C059BC"/>
    <w:rsid w:val="00C07E6C"/>
    <w:rsid w:val="00C148A1"/>
    <w:rsid w:val="00C169E1"/>
    <w:rsid w:val="00C1733B"/>
    <w:rsid w:val="00C22260"/>
    <w:rsid w:val="00C246B9"/>
    <w:rsid w:val="00C25675"/>
    <w:rsid w:val="00C27003"/>
    <w:rsid w:val="00C3070E"/>
    <w:rsid w:val="00C32499"/>
    <w:rsid w:val="00C346A0"/>
    <w:rsid w:val="00C3521C"/>
    <w:rsid w:val="00C35DBE"/>
    <w:rsid w:val="00C45943"/>
    <w:rsid w:val="00C52036"/>
    <w:rsid w:val="00C531BF"/>
    <w:rsid w:val="00C57D04"/>
    <w:rsid w:val="00C57E8B"/>
    <w:rsid w:val="00C620F1"/>
    <w:rsid w:val="00C6250B"/>
    <w:rsid w:val="00C63673"/>
    <w:rsid w:val="00C656F7"/>
    <w:rsid w:val="00C71FB9"/>
    <w:rsid w:val="00C7671D"/>
    <w:rsid w:val="00C839E4"/>
    <w:rsid w:val="00C90D41"/>
    <w:rsid w:val="00C91582"/>
    <w:rsid w:val="00C93252"/>
    <w:rsid w:val="00C944DB"/>
    <w:rsid w:val="00C97813"/>
    <w:rsid w:val="00CA01B0"/>
    <w:rsid w:val="00CA1701"/>
    <w:rsid w:val="00CB2BC6"/>
    <w:rsid w:val="00CB4DC3"/>
    <w:rsid w:val="00CB5C7D"/>
    <w:rsid w:val="00CC062A"/>
    <w:rsid w:val="00CC518B"/>
    <w:rsid w:val="00CD47B0"/>
    <w:rsid w:val="00CD71D2"/>
    <w:rsid w:val="00CD7E91"/>
    <w:rsid w:val="00CE1B68"/>
    <w:rsid w:val="00CE440F"/>
    <w:rsid w:val="00CE63BF"/>
    <w:rsid w:val="00CE6944"/>
    <w:rsid w:val="00CF318F"/>
    <w:rsid w:val="00CF51BC"/>
    <w:rsid w:val="00CF6281"/>
    <w:rsid w:val="00CF6856"/>
    <w:rsid w:val="00D01395"/>
    <w:rsid w:val="00D02880"/>
    <w:rsid w:val="00D02DBE"/>
    <w:rsid w:val="00D032DF"/>
    <w:rsid w:val="00D16A15"/>
    <w:rsid w:val="00D17766"/>
    <w:rsid w:val="00D24B26"/>
    <w:rsid w:val="00D322D9"/>
    <w:rsid w:val="00D35365"/>
    <w:rsid w:val="00D471DE"/>
    <w:rsid w:val="00D47C53"/>
    <w:rsid w:val="00D50991"/>
    <w:rsid w:val="00D51191"/>
    <w:rsid w:val="00D529EF"/>
    <w:rsid w:val="00D61660"/>
    <w:rsid w:val="00D61885"/>
    <w:rsid w:val="00D83F15"/>
    <w:rsid w:val="00D845A0"/>
    <w:rsid w:val="00D94DC5"/>
    <w:rsid w:val="00D95B5A"/>
    <w:rsid w:val="00DA5582"/>
    <w:rsid w:val="00DA626E"/>
    <w:rsid w:val="00DB11EE"/>
    <w:rsid w:val="00DB13C9"/>
    <w:rsid w:val="00DB487A"/>
    <w:rsid w:val="00DC1E52"/>
    <w:rsid w:val="00DD03C1"/>
    <w:rsid w:val="00DD074E"/>
    <w:rsid w:val="00DD1EB1"/>
    <w:rsid w:val="00DD2A34"/>
    <w:rsid w:val="00DD3B31"/>
    <w:rsid w:val="00DD6156"/>
    <w:rsid w:val="00DE19A1"/>
    <w:rsid w:val="00DE4643"/>
    <w:rsid w:val="00DE6E85"/>
    <w:rsid w:val="00DF4ED4"/>
    <w:rsid w:val="00DF5EAA"/>
    <w:rsid w:val="00E06392"/>
    <w:rsid w:val="00E06FAF"/>
    <w:rsid w:val="00E06FC6"/>
    <w:rsid w:val="00E10FD3"/>
    <w:rsid w:val="00E1493E"/>
    <w:rsid w:val="00E14E67"/>
    <w:rsid w:val="00E2273A"/>
    <w:rsid w:val="00E2630C"/>
    <w:rsid w:val="00E307ED"/>
    <w:rsid w:val="00E31B73"/>
    <w:rsid w:val="00E33019"/>
    <w:rsid w:val="00E4087B"/>
    <w:rsid w:val="00E43E3D"/>
    <w:rsid w:val="00E44785"/>
    <w:rsid w:val="00E4582E"/>
    <w:rsid w:val="00E57FD6"/>
    <w:rsid w:val="00E61FAA"/>
    <w:rsid w:val="00E62C6A"/>
    <w:rsid w:val="00E63A55"/>
    <w:rsid w:val="00E72C34"/>
    <w:rsid w:val="00E75200"/>
    <w:rsid w:val="00E76F06"/>
    <w:rsid w:val="00E844B2"/>
    <w:rsid w:val="00E93240"/>
    <w:rsid w:val="00E94071"/>
    <w:rsid w:val="00E9743B"/>
    <w:rsid w:val="00EA02C4"/>
    <w:rsid w:val="00EA7E70"/>
    <w:rsid w:val="00EB0436"/>
    <w:rsid w:val="00EB1C46"/>
    <w:rsid w:val="00EB3ECE"/>
    <w:rsid w:val="00EB5DBE"/>
    <w:rsid w:val="00EC79B7"/>
    <w:rsid w:val="00ED0456"/>
    <w:rsid w:val="00ED1957"/>
    <w:rsid w:val="00EE6414"/>
    <w:rsid w:val="00EE6879"/>
    <w:rsid w:val="00EE6D80"/>
    <w:rsid w:val="00EE7193"/>
    <w:rsid w:val="00EF449F"/>
    <w:rsid w:val="00EF729E"/>
    <w:rsid w:val="00F120C7"/>
    <w:rsid w:val="00F13E18"/>
    <w:rsid w:val="00F15F31"/>
    <w:rsid w:val="00F2041A"/>
    <w:rsid w:val="00F27ECF"/>
    <w:rsid w:val="00F33CD1"/>
    <w:rsid w:val="00F34142"/>
    <w:rsid w:val="00F47484"/>
    <w:rsid w:val="00F55E47"/>
    <w:rsid w:val="00F60ED4"/>
    <w:rsid w:val="00F616C6"/>
    <w:rsid w:val="00F6260A"/>
    <w:rsid w:val="00F642DC"/>
    <w:rsid w:val="00F702EE"/>
    <w:rsid w:val="00F70E52"/>
    <w:rsid w:val="00F72793"/>
    <w:rsid w:val="00F74D05"/>
    <w:rsid w:val="00F74E86"/>
    <w:rsid w:val="00F77B99"/>
    <w:rsid w:val="00F80199"/>
    <w:rsid w:val="00F80808"/>
    <w:rsid w:val="00F847B9"/>
    <w:rsid w:val="00F93452"/>
    <w:rsid w:val="00FA2F7A"/>
    <w:rsid w:val="00FA6C6A"/>
    <w:rsid w:val="00FA7564"/>
    <w:rsid w:val="00FB5B9D"/>
    <w:rsid w:val="00FB5EEB"/>
    <w:rsid w:val="00FB7544"/>
    <w:rsid w:val="00FB7F9F"/>
    <w:rsid w:val="00FC12A0"/>
    <w:rsid w:val="00FC4237"/>
    <w:rsid w:val="00FC4C13"/>
    <w:rsid w:val="00FD797B"/>
    <w:rsid w:val="00FE1896"/>
    <w:rsid w:val="00FE318D"/>
    <w:rsid w:val="00FE7D7A"/>
    <w:rsid w:val="00FF0BA5"/>
    <w:rsid w:val="00FF22A8"/>
    <w:rsid w:val="00FF40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2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644963"/>
    <w:rPr>
      <w:i/>
      <w:iCs/>
      <w:color w:val="5B9BD5" w:themeColor="accent1"/>
    </w:rPr>
  </w:style>
  <w:style w:type="paragraph" w:styleId="ListParagraph">
    <w:name w:val="List Paragraph"/>
    <w:basedOn w:val="Normal"/>
    <w:uiPriority w:val="34"/>
    <w:qFormat/>
    <w:rsid w:val="008F733C"/>
    <w:pPr>
      <w:ind w:left="720"/>
      <w:contextualSpacing/>
    </w:pPr>
  </w:style>
  <w:style w:type="paragraph" w:styleId="BalloonText">
    <w:name w:val="Balloon Text"/>
    <w:basedOn w:val="Normal"/>
    <w:link w:val="BalloonTextChar"/>
    <w:uiPriority w:val="99"/>
    <w:semiHidden/>
    <w:unhideWhenUsed/>
    <w:rsid w:val="006040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0B8"/>
    <w:rPr>
      <w:rFonts w:ascii="Segoe UI" w:hAnsi="Segoe UI" w:cs="Segoe UI"/>
      <w:sz w:val="18"/>
      <w:szCs w:val="18"/>
    </w:rPr>
  </w:style>
  <w:style w:type="character" w:styleId="CommentReference">
    <w:name w:val="annotation reference"/>
    <w:basedOn w:val="DefaultParagraphFont"/>
    <w:uiPriority w:val="99"/>
    <w:semiHidden/>
    <w:unhideWhenUsed/>
    <w:rsid w:val="00275A53"/>
    <w:rPr>
      <w:sz w:val="16"/>
      <w:szCs w:val="16"/>
    </w:rPr>
  </w:style>
  <w:style w:type="paragraph" w:styleId="CommentText">
    <w:name w:val="annotation text"/>
    <w:basedOn w:val="Normal"/>
    <w:link w:val="CommentTextChar"/>
    <w:uiPriority w:val="99"/>
    <w:semiHidden/>
    <w:unhideWhenUsed/>
    <w:rsid w:val="00275A53"/>
    <w:pPr>
      <w:spacing w:line="240" w:lineRule="auto"/>
    </w:pPr>
    <w:rPr>
      <w:sz w:val="20"/>
      <w:szCs w:val="20"/>
    </w:rPr>
  </w:style>
  <w:style w:type="character" w:customStyle="1" w:styleId="CommentTextChar">
    <w:name w:val="Comment Text Char"/>
    <w:basedOn w:val="DefaultParagraphFont"/>
    <w:link w:val="CommentText"/>
    <w:uiPriority w:val="99"/>
    <w:semiHidden/>
    <w:rsid w:val="00275A53"/>
    <w:rPr>
      <w:sz w:val="20"/>
      <w:szCs w:val="20"/>
    </w:rPr>
  </w:style>
  <w:style w:type="paragraph" w:styleId="CommentSubject">
    <w:name w:val="annotation subject"/>
    <w:basedOn w:val="CommentText"/>
    <w:next w:val="CommentText"/>
    <w:link w:val="CommentSubjectChar"/>
    <w:uiPriority w:val="99"/>
    <w:semiHidden/>
    <w:unhideWhenUsed/>
    <w:rsid w:val="00275A53"/>
    <w:rPr>
      <w:b/>
      <w:bCs/>
    </w:rPr>
  </w:style>
  <w:style w:type="character" w:customStyle="1" w:styleId="CommentSubjectChar">
    <w:name w:val="Comment Subject Char"/>
    <w:basedOn w:val="CommentTextChar"/>
    <w:link w:val="CommentSubject"/>
    <w:uiPriority w:val="99"/>
    <w:semiHidden/>
    <w:rsid w:val="00275A53"/>
    <w:rPr>
      <w:b/>
      <w:bCs/>
      <w:sz w:val="20"/>
      <w:szCs w:val="20"/>
    </w:rPr>
  </w:style>
  <w:style w:type="paragraph" w:styleId="NormalWeb">
    <w:name w:val="Normal (Web)"/>
    <w:basedOn w:val="Normal"/>
    <w:uiPriority w:val="99"/>
    <w:unhideWhenUsed/>
    <w:rsid w:val="00054C78"/>
    <w:pPr>
      <w:spacing w:after="0" w:line="240" w:lineRule="auto"/>
      <w:ind w:firstLine="990"/>
      <w:jc w:val="both"/>
    </w:pPr>
    <w:rPr>
      <w:rFonts w:ascii="Hebar" w:eastAsia="Calibri" w:hAnsi="Hebar" w:cs="Times New Roman"/>
      <w:color w:val="000000"/>
      <w:sz w:val="24"/>
      <w:szCs w:val="24"/>
      <w:lang w:eastAsia="bg-BG"/>
    </w:rPr>
  </w:style>
  <w:style w:type="paragraph" w:customStyle="1" w:styleId="Default">
    <w:name w:val="Default"/>
    <w:rsid w:val="00054C78"/>
    <w:pPr>
      <w:autoSpaceDE w:val="0"/>
      <w:autoSpaceDN w:val="0"/>
      <w:adjustRightInd w:val="0"/>
      <w:spacing w:after="0" w:line="240" w:lineRule="auto"/>
    </w:pPr>
    <w:rPr>
      <w:rFonts w:ascii="Times New Roman" w:eastAsia="SimSun" w:hAnsi="Times New Roman" w:cs="Times New Roman"/>
      <w:color w:val="000000"/>
      <w:sz w:val="24"/>
      <w:szCs w:val="24"/>
      <w:lang w:eastAsia="bg-BG"/>
    </w:rPr>
  </w:style>
  <w:style w:type="paragraph" w:styleId="Header">
    <w:name w:val="header"/>
    <w:basedOn w:val="Normal"/>
    <w:link w:val="HeaderChar"/>
    <w:uiPriority w:val="99"/>
    <w:unhideWhenUsed/>
    <w:rsid w:val="007516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16DF"/>
  </w:style>
  <w:style w:type="paragraph" w:styleId="Footer">
    <w:name w:val="footer"/>
    <w:basedOn w:val="Normal"/>
    <w:link w:val="FooterChar"/>
    <w:uiPriority w:val="99"/>
    <w:unhideWhenUsed/>
    <w:rsid w:val="007516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16DF"/>
  </w:style>
  <w:style w:type="character" w:customStyle="1" w:styleId="historyitem">
    <w:name w:val="historyitem"/>
    <w:rsid w:val="006767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2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644963"/>
    <w:rPr>
      <w:i/>
      <w:iCs/>
      <w:color w:val="5B9BD5" w:themeColor="accent1"/>
    </w:rPr>
  </w:style>
  <w:style w:type="paragraph" w:styleId="ListParagraph">
    <w:name w:val="List Paragraph"/>
    <w:basedOn w:val="Normal"/>
    <w:uiPriority w:val="34"/>
    <w:qFormat/>
    <w:rsid w:val="008F733C"/>
    <w:pPr>
      <w:ind w:left="720"/>
      <w:contextualSpacing/>
    </w:pPr>
  </w:style>
  <w:style w:type="paragraph" w:styleId="BalloonText">
    <w:name w:val="Balloon Text"/>
    <w:basedOn w:val="Normal"/>
    <w:link w:val="BalloonTextChar"/>
    <w:uiPriority w:val="99"/>
    <w:semiHidden/>
    <w:unhideWhenUsed/>
    <w:rsid w:val="006040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0B8"/>
    <w:rPr>
      <w:rFonts w:ascii="Segoe UI" w:hAnsi="Segoe UI" w:cs="Segoe UI"/>
      <w:sz w:val="18"/>
      <w:szCs w:val="18"/>
    </w:rPr>
  </w:style>
  <w:style w:type="character" w:styleId="CommentReference">
    <w:name w:val="annotation reference"/>
    <w:basedOn w:val="DefaultParagraphFont"/>
    <w:uiPriority w:val="99"/>
    <w:semiHidden/>
    <w:unhideWhenUsed/>
    <w:rsid w:val="00275A53"/>
    <w:rPr>
      <w:sz w:val="16"/>
      <w:szCs w:val="16"/>
    </w:rPr>
  </w:style>
  <w:style w:type="paragraph" w:styleId="CommentText">
    <w:name w:val="annotation text"/>
    <w:basedOn w:val="Normal"/>
    <w:link w:val="CommentTextChar"/>
    <w:uiPriority w:val="99"/>
    <w:semiHidden/>
    <w:unhideWhenUsed/>
    <w:rsid w:val="00275A53"/>
    <w:pPr>
      <w:spacing w:line="240" w:lineRule="auto"/>
    </w:pPr>
    <w:rPr>
      <w:sz w:val="20"/>
      <w:szCs w:val="20"/>
    </w:rPr>
  </w:style>
  <w:style w:type="character" w:customStyle="1" w:styleId="CommentTextChar">
    <w:name w:val="Comment Text Char"/>
    <w:basedOn w:val="DefaultParagraphFont"/>
    <w:link w:val="CommentText"/>
    <w:uiPriority w:val="99"/>
    <w:semiHidden/>
    <w:rsid w:val="00275A53"/>
    <w:rPr>
      <w:sz w:val="20"/>
      <w:szCs w:val="20"/>
    </w:rPr>
  </w:style>
  <w:style w:type="paragraph" w:styleId="CommentSubject">
    <w:name w:val="annotation subject"/>
    <w:basedOn w:val="CommentText"/>
    <w:next w:val="CommentText"/>
    <w:link w:val="CommentSubjectChar"/>
    <w:uiPriority w:val="99"/>
    <w:semiHidden/>
    <w:unhideWhenUsed/>
    <w:rsid w:val="00275A53"/>
    <w:rPr>
      <w:b/>
      <w:bCs/>
    </w:rPr>
  </w:style>
  <w:style w:type="character" w:customStyle="1" w:styleId="CommentSubjectChar">
    <w:name w:val="Comment Subject Char"/>
    <w:basedOn w:val="CommentTextChar"/>
    <w:link w:val="CommentSubject"/>
    <w:uiPriority w:val="99"/>
    <w:semiHidden/>
    <w:rsid w:val="00275A53"/>
    <w:rPr>
      <w:b/>
      <w:bCs/>
      <w:sz w:val="20"/>
      <w:szCs w:val="20"/>
    </w:rPr>
  </w:style>
  <w:style w:type="paragraph" w:styleId="NormalWeb">
    <w:name w:val="Normal (Web)"/>
    <w:basedOn w:val="Normal"/>
    <w:uiPriority w:val="99"/>
    <w:unhideWhenUsed/>
    <w:rsid w:val="00054C78"/>
    <w:pPr>
      <w:spacing w:after="0" w:line="240" w:lineRule="auto"/>
      <w:ind w:firstLine="990"/>
      <w:jc w:val="both"/>
    </w:pPr>
    <w:rPr>
      <w:rFonts w:ascii="Hebar" w:eastAsia="Calibri" w:hAnsi="Hebar" w:cs="Times New Roman"/>
      <w:color w:val="000000"/>
      <w:sz w:val="24"/>
      <w:szCs w:val="24"/>
      <w:lang w:eastAsia="bg-BG"/>
    </w:rPr>
  </w:style>
  <w:style w:type="paragraph" w:customStyle="1" w:styleId="Default">
    <w:name w:val="Default"/>
    <w:rsid w:val="00054C78"/>
    <w:pPr>
      <w:autoSpaceDE w:val="0"/>
      <w:autoSpaceDN w:val="0"/>
      <w:adjustRightInd w:val="0"/>
      <w:spacing w:after="0" w:line="240" w:lineRule="auto"/>
    </w:pPr>
    <w:rPr>
      <w:rFonts w:ascii="Times New Roman" w:eastAsia="SimSun" w:hAnsi="Times New Roman" w:cs="Times New Roman"/>
      <w:color w:val="000000"/>
      <w:sz w:val="24"/>
      <w:szCs w:val="24"/>
      <w:lang w:eastAsia="bg-BG"/>
    </w:rPr>
  </w:style>
  <w:style w:type="paragraph" w:styleId="Header">
    <w:name w:val="header"/>
    <w:basedOn w:val="Normal"/>
    <w:link w:val="HeaderChar"/>
    <w:uiPriority w:val="99"/>
    <w:unhideWhenUsed/>
    <w:rsid w:val="007516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16DF"/>
  </w:style>
  <w:style w:type="paragraph" w:styleId="Footer">
    <w:name w:val="footer"/>
    <w:basedOn w:val="Normal"/>
    <w:link w:val="FooterChar"/>
    <w:uiPriority w:val="99"/>
    <w:unhideWhenUsed/>
    <w:rsid w:val="007516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16DF"/>
  </w:style>
  <w:style w:type="character" w:customStyle="1" w:styleId="historyitem">
    <w:name w:val="historyitem"/>
    <w:rsid w:val="00676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6347">
      <w:bodyDiv w:val="1"/>
      <w:marLeft w:val="0"/>
      <w:marRight w:val="0"/>
      <w:marTop w:val="0"/>
      <w:marBottom w:val="0"/>
      <w:divBdr>
        <w:top w:val="none" w:sz="0" w:space="0" w:color="auto"/>
        <w:left w:val="none" w:sz="0" w:space="0" w:color="auto"/>
        <w:bottom w:val="none" w:sz="0" w:space="0" w:color="auto"/>
        <w:right w:val="none" w:sz="0" w:space="0" w:color="auto"/>
      </w:divBdr>
    </w:div>
    <w:div w:id="660236003">
      <w:bodyDiv w:val="1"/>
      <w:marLeft w:val="0"/>
      <w:marRight w:val="0"/>
      <w:marTop w:val="0"/>
      <w:marBottom w:val="0"/>
      <w:divBdr>
        <w:top w:val="none" w:sz="0" w:space="0" w:color="auto"/>
        <w:left w:val="none" w:sz="0" w:space="0" w:color="auto"/>
        <w:bottom w:val="none" w:sz="0" w:space="0" w:color="auto"/>
        <w:right w:val="none" w:sz="0" w:space="0" w:color="auto"/>
      </w:divBdr>
    </w:div>
    <w:div w:id="756286149">
      <w:bodyDiv w:val="1"/>
      <w:marLeft w:val="0"/>
      <w:marRight w:val="0"/>
      <w:marTop w:val="0"/>
      <w:marBottom w:val="0"/>
      <w:divBdr>
        <w:top w:val="none" w:sz="0" w:space="0" w:color="auto"/>
        <w:left w:val="none" w:sz="0" w:space="0" w:color="auto"/>
        <w:bottom w:val="none" w:sz="0" w:space="0" w:color="auto"/>
        <w:right w:val="none" w:sz="0" w:space="0" w:color="auto"/>
      </w:divBdr>
    </w:div>
    <w:div w:id="1204682871">
      <w:bodyDiv w:val="1"/>
      <w:marLeft w:val="0"/>
      <w:marRight w:val="0"/>
      <w:marTop w:val="0"/>
      <w:marBottom w:val="0"/>
      <w:divBdr>
        <w:top w:val="none" w:sz="0" w:space="0" w:color="auto"/>
        <w:left w:val="none" w:sz="0" w:space="0" w:color="auto"/>
        <w:bottom w:val="none" w:sz="0" w:space="0" w:color="auto"/>
        <w:right w:val="none" w:sz="0" w:space="0" w:color="auto"/>
      </w:divBdr>
    </w:div>
    <w:div w:id="1369573672">
      <w:bodyDiv w:val="1"/>
      <w:marLeft w:val="0"/>
      <w:marRight w:val="0"/>
      <w:marTop w:val="0"/>
      <w:marBottom w:val="0"/>
      <w:divBdr>
        <w:top w:val="none" w:sz="0" w:space="0" w:color="auto"/>
        <w:left w:val="none" w:sz="0" w:space="0" w:color="auto"/>
        <w:bottom w:val="none" w:sz="0" w:space="0" w:color="auto"/>
        <w:right w:val="none" w:sz="0" w:space="0" w:color="auto"/>
      </w:divBdr>
    </w:div>
    <w:div w:id="1800801241">
      <w:bodyDiv w:val="1"/>
      <w:marLeft w:val="0"/>
      <w:marRight w:val="0"/>
      <w:marTop w:val="0"/>
      <w:marBottom w:val="0"/>
      <w:divBdr>
        <w:top w:val="none" w:sz="0" w:space="0" w:color="auto"/>
        <w:left w:val="none" w:sz="0" w:space="0" w:color="auto"/>
        <w:bottom w:val="none" w:sz="0" w:space="0" w:color="auto"/>
        <w:right w:val="none" w:sz="0" w:space="0" w:color="auto"/>
      </w:divBdr>
    </w:div>
    <w:div w:id="1827672890">
      <w:bodyDiv w:val="1"/>
      <w:marLeft w:val="0"/>
      <w:marRight w:val="0"/>
      <w:marTop w:val="0"/>
      <w:marBottom w:val="0"/>
      <w:divBdr>
        <w:top w:val="none" w:sz="0" w:space="0" w:color="auto"/>
        <w:left w:val="none" w:sz="0" w:space="0" w:color="auto"/>
        <w:bottom w:val="none" w:sz="0" w:space="0" w:color="auto"/>
        <w:right w:val="none" w:sz="0" w:space="0" w:color="auto"/>
      </w:divBdr>
    </w:div>
    <w:div w:id="190297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AAD3E-85D4-42FA-9DA5-F22C46F7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7650</Words>
  <Characters>43610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Polina Dencheva</dc:creator>
  <cp:lastModifiedBy>Десислава Беличева</cp:lastModifiedBy>
  <cp:revision>2</cp:revision>
  <cp:lastPrinted>2020-10-14T11:32:00Z</cp:lastPrinted>
  <dcterms:created xsi:type="dcterms:W3CDTF">2020-10-19T09:45:00Z</dcterms:created>
  <dcterms:modified xsi:type="dcterms:W3CDTF">2020-10-19T09:45:00Z</dcterms:modified>
</cp:coreProperties>
</file>