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4A0" w:firstRow="1" w:lastRow="0" w:firstColumn="1" w:lastColumn="0" w:noHBand="0" w:noVBand="1"/>
      </w:tblPr>
      <w:tblGrid>
        <w:gridCol w:w="3420"/>
        <w:gridCol w:w="1542"/>
        <w:gridCol w:w="4677"/>
      </w:tblGrid>
      <w:tr w:rsidR="00F724ED" w:rsidRPr="00EF478F" w:rsidTr="0052381B">
        <w:trPr>
          <w:trHeight w:val="1849"/>
        </w:trPr>
        <w:tc>
          <w:tcPr>
            <w:tcW w:w="3420" w:type="dxa"/>
            <w:shd w:val="clear" w:color="auto" w:fill="auto"/>
            <w:tcMar>
              <w:left w:w="0" w:type="dxa"/>
              <w:right w:w="0" w:type="dxa"/>
            </w:tcMar>
          </w:tcPr>
          <w:p w:rsidR="002B6281" w:rsidRPr="0021222B" w:rsidRDefault="008A1C41" w:rsidP="0021222B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20"/>
                <w:u w:val="single"/>
              </w:rPr>
            </w:pPr>
            <w:r w:rsidRPr="000D2283">
              <w:rPr>
                <w:noProof/>
              </w:rPr>
              <w:drawing>
                <wp:inline distT="0" distB="0" distL="0" distR="0">
                  <wp:extent cx="2162810" cy="970280"/>
                  <wp:effectExtent l="0" t="0" r="8890" b="1270"/>
                  <wp:docPr id="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6281" w:rsidRPr="00EF478F" w:rsidRDefault="002B6281" w:rsidP="00EF478F">
            <w:pPr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4677" w:type="dxa"/>
            <w:shd w:val="clear" w:color="auto" w:fill="auto"/>
            <w:tcMar>
              <w:left w:w="0" w:type="dxa"/>
              <w:right w:w="0" w:type="dxa"/>
            </w:tcMar>
          </w:tcPr>
          <w:p w:rsidR="002B6281" w:rsidRPr="00EF478F" w:rsidRDefault="002B6281" w:rsidP="00EF478F">
            <w:pPr>
              <w:spacing w:after="150" w:line="240" w:lineRule="auto"/>
              <w:rPr>
                <w:noProof/>
              </w:rPr>
            </w:pPr>
          </w:p>
        </w:tc>
      </w:tr>
    </w:tbl>
    <w:p w:rsidR="00631AD6" w:rsidRPr="0052381B" w:rsidRDefault="0052381B" w:rsidP="0052381B">
      <w:pPr>
        <w:spacing w:after="15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2381B">
        <w:rPr>
          <w:rFonts w:ascii="Tahoma" w:hAnsi="Tahoma" w:cs="Tahoma"/>
          <w:b/>
          <w:sz w:val="24"/>
          <w:szCs w:val="24"/>
        </w:rPr>
        <w:t xml:space="preserve">Резултати от проучване </w:t>
      </w:r>
      <w:r w:rsidR="007C78B5">
        <w:rPr>
          <w:rFonts w:ascii="Tahoma" w:hAnsi="Tahoma" w:cs="Tahoma"/>
          <w:b/>
          <w:sz w:val="24"/>
          <w:szCs w:val="24"/>
        </w:rPr>
        <w:br/>
      </w:r>
      <w:r w:rsidRPr="0052381B">
        <w:rPr>
          <w:rFonts w:ascii="Tahoma" w:hAnsi="Tahoma" w:cs="Tahoma"/>
          <w:b/>
          <w:sz w:val="24"/>
          <w:szCs w:val="24"/>
        </w:rPr>
        <w:t xml:space="preserve">по проблемна област „Време за плащане на данъци“ </w:t>
      </w:r>
      <w:r w:rsidR="007C78B5">
        <w:rPr>
          <w:rFonts w:ascii="Tahoma" w:hAnsi="Tahoma" w:cs="Tahoma"/>
          <w:b/>
          <w:sz w:val="24"/>
          <w:szCs w:val="24"/>
        </w:rPr>
        <w:br/>
      </w:r>
      <w:r w:rsidR="007C78B5">
        <w:rPr>
          <w:rFonts w:ascii="Tahoma" w:hAnsi="Tahoma" w:cs="Tahoma"/>
          <w:b/>
          <w:sz w:val="24"/>
          <w:szCs w:val="24"/>
        </w:rPr>
        <w:br/>
      </w:r>
      <w:r w:rsidRPr="0052381B">
        <w:rPr>
          <w:rFonts w:ascii="Tahoma" w:hAnsi="Tahoma" w:cs="Tahoma"/>
          <w:b/>
          <w:sz w:val="24"/>
          <w:szCs w:val="24"/>
        </w:rPr>
        <w:t xml:space="preserve">и предложения за намаляване на административната тежест </w:t>
      </w:r>
      <w:r w:rsidR="007C78B5">
        <w:rPr>
          <w:rFonts w:ascii="Tahoma" w:hAnsi="Tahoma" w:cs="Tahoma"/>
          <w:b/>
          <w:sz w:val="24"/>
          <w:szCs w:val="24"/>
        </w:rPr>
        <w:br/>
      </w:r>
      <w:r w:rsidRPr="0052381B">
        <w:rPr>
          <w:rFonts w:ascii="Tahoma" w:hAnsi="Tahoma" w:cs="Tahoma"/>
          <w:b/>
          <w:sz w:val="24"/>
          <w:szCs w:val="24"/>
        </w:rPr>
        <w:t>в данъчното и осигурителното законодателство</w:t>
      </w:r>
    </w:p>
    <w:p w:rsidR="007C78B5" w:rsidRDefault="007C78B5" w:rsidP="007C78B5">
      <w:pPr>
        <w:jc w:val="center"/>
        <w:rPr>
          <w:i/>
        </w:rPr>
      </w:pPr>
      <w:r w:rsidRPr="007C78B5">
        <w:rPr>
          <w:i/>
        </w:rPr>
        <w:t>Проучването е проведено от Българската стопанска камара – съюз на българския бизнес в периода октомври-ноември 2015 г. сред фирми в цялата страна от всички икономически сектори</w:t>
      </w:r>
    </w:p>
    <w:p w:rsidR="007C78B5" w:rsidRPr="00B95D4E" w:rsidRDefault="007C78B5" w:rsidP="007C78B5">
      <w:pPr>
        <w:jc w:val="center"/>
        <w:rPr>
          <w:i/>
          <w:sz w:val="8"/>
        </w:rPr>
      </w:pPr>
    </w:p>
    <w:p w:rsidR="0052381B" w:rsidRPr="0052381B" w:rsidRDefault="0052381B" w:rsidP="0052381B">
      <w:pPr>
        <w:pStyle w:val="Heading1"/>
      </w:pPr>
      <w:r w:rsidRPr="0052381B">
        <w:t>Проблемни дейности</w:t>
      </w:r>
    </w:p>
    <w:p w:rsidR="0052381B" w:rsidRPr="007C78B5" w:rsidRDefault="0052381B" w:rsidP="0052381B">
      <w:pPr>
        <w:spacing w:after="150" w:line="240" w:lineRule="auto"/>
        <w:jc w:val="both"/>
        <w:rPr>
          <w:rFonts w:ascii="Tahoma" w:hAnsi="Tahoma" w:cs="Tahoma"/>
          <w:sz w:val="16"/>
          <w:szCs w:val="24"/>
        </w:rPr>
      </w:pPr>
    </w:p>
    <w:p w:rsidR="0052381B" w:rsidRPr="0052381B" w:rsidRDefault="0052381B" w:rsidP="007C78B5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52381B">
        <w:rPr>
          <w:rFonts w:ascii="Tahoma" w:hAnsi="Tahoma" w:cs="Tahoma"/>
          <w:sz w:val="24"/>
          <w:szCs w:val="24"/>
        </w:rPr>
        <w:t>Дейностите, които отнемат най-много време и ресурс</w:t>
      </w:r>
      <w:r w:rsidR="007C78B5">
        <w:rPr>
          <w:rFonts w:ascii="Tahoma" w:hAnsi="Tahoma" w:cs="Tahoma"/>
          <w:sz w:val="24"/>
          <w:szCs w:val="24"/>
        </w:rPr>
        <w:t>,</w:t>
      </w:r>
      <w:r w:rsidRPr="0052381B">
        <w:rPr>
          <w:rFonts w:ascii="Tahoma" w:hAnsi="Tahoma" w:cs="Tahoma"/>
          <w:sz w:val="24"/>
          <w:szCs w:val="24"/>
        </w:rPr>
        <w:t xml:space="preserve"> според анкетираните лица са:</w:t>
      </w:r>
    </w:p>
    <w:p w:rsidR="0052381B" w:rsidRPr="0052381B" w:rsidRDefault="0052381B" w:rsidP="007C78B5">
      <w:pPr>
        <w:pStyle w:val="ListParagraph"/>
        <w:numPr>
          <w:ilvl w:val="0"/>
          <w:numId w:val="3"/>
        </w:numPr>
        <w:spacing w:after="120" w:line="240" w:lineRule="auto"/>
        <w:ind w:left="567" w:hanging="425"/>
        <w:contextualSpacing w:val="0"/>
        <w:jc w:val="both"/>
        <w:rPr>
          <w:rFonts w:ascii="Tahoma" w:hAnsi="Tahoma" w:cs="Tahoma"/>
          <w:sz w:val="24"/>
          <w:szCs w:val="24"/>
        </w:rPr>
      </w:pPr>
      <w:r w:rsidRPr="0052381B">
        <w:rPr>
          <w:rFonts w:ascii="Tahoma" w:hAnsi="Tahoma" w:cs="Tahoma"/>
          <w:sz w:val="24"/>
          <w:szCs w:val="24"/>
        </w:rPr>
        <w:t>Честа промяна в нормативната уредба, свързана с декларации, бланки, формуляри, режими, срокове и др.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Pr="0052381B">
        <w:rPr>
          <w:rFonts w:ascii="Tahoma" w:hAnsi="Tahoma" w:cs="Tahoma"/>
          <w:sz w:val="24"/>
          <w:szCs w:val="24"/>
        </w:rPr>
        <w:t xml:space="preserve">– </w:t>
      </w:r>
      <w:r w:rsidRPr="0085569D">
        <w:rPr>
          <w:rStyle w:val="Emphasis"/>
          <w:sz w:val="24"/>
          <w:szCs w:val="24"/>
        </w:rPr>
        <w:t>(Приложение 1)</w:t>
      </w:r>
    </w:p>
    <w:p w:rsidR="0052381B" w:rsidRPr="0052381B" w:rsidRDefault="0052381B" w:rsidP="007C78B5">
      <w:pPr>
        <w:pStyle w:val="ListParagraph"/>
        <w:spacing w:after="120" w:line="240" w:lineRule="auto"/>
        <w:ind w:left="567"/>
        <w:contextualSpacing w:val="0"/>
        <w:jc w:val="both"/>
        <w:rPr>
          <w:rStyle w:val="Emphasis"/>
          <w:sz w:val="24"/>
          <w:szCs w:val="24"/>
        </w:rPr>
      </w:pPr>
      <w:r w:rsidRPr="0052381B">
        <w:rPr>
          <w:rStyle w:val="Emphasis"/>
        </w:rPr>
        <w:t xml:space="preserve">Пример: Програмният </w:t>
      </w:r>
      <w:r w:rsidRPr="0052381B">
        <w:rPr>
          <w:rStyle w:val="Emphasis"/>
          <w:sz w:val="24"/>
          <w:szCs w:val="24"/>
        </w:rPr>
        <w:t>продукт за генериране на декларации обр. 1 и обр. 6 има 8 актуализации през 2015 г. Пет от тях са в периода Декември 2014 г. -  Февруари 2015 г.);</w:t>
      </w:r>
    </w:p>
    <w:p w:rsidR="0052381B" w:rsidRPr="0052381B" w:rsidRDefault="0052381B" w:rsidP="007C78B5">
      <w:pPr>
        <w:pStyle w:val="ListParagraph"/>
        <w:numPr>
          <w:ilvl w:val="0"/>
          <w:numId w:val="3"/>
        </w:numPr>
        <w:spacing w:after="120" w:line="240" w:lineRule="auto"/>
        <w:ind w:left="567" w:hanging="425"/>
        <w:contextualSpacing w:val="0"/>
        <w:jc w:val="both"/>
        <w:rPr>
          <w:rFonts w:ascii="Tahoma" w:hAnsi="Tahoma" w:cs="Tahoma"/>
          <w:sz w:val="24"/>
          <w:szCs w:val="24"/>
        </w:rPr>
      </w:pPr>
      <w:r w:rsidRPr="0052381B">
        <w:rPr>
          <w:rFonts w:ascii="Tahoma" w:hAnsi="Tahoma" w:cs="Tahoma"/>
          <w:sz w:val="24"/>
          <w:szCs w:val="24"/>
        </w:rPr>
        <w:t>Изготвяне на справки и инфор</w:t>
      </w:r>
      <w:bookmarkStart w:id="0" w:name="_GoBack"/>
      <w:bookmarkEnd w:id="0"/>
      <w:r w:rsidRPr="0052381B">
        <w:rPr>
          <w:rFonts w:ascii="Tahoma" w:hAnsi="Tahoma" w:cs="Tahoma"/>
          <w:sz w:val="24"/>
          <w:szCs w:val="24"/>
        </w:rPr>
        <w:t xml:space="preserve">мация във връзка с проверки и ревизионни производства, </w:t>
      </w:r>
      <w:r w:rsidRPr="0052381B">
        <w:rPr>
          <w:rStyle w:val="Emphasis"/>
          <w:sz w:val="24"/>
          <w:szCs w:val="24"/>
        </w:rPr>
        <w:t>в т.ч.: многократно копиране, окомплектоване и представяне на едни и същи документи, доказващи плащане на данъчни и осигурителни задължения за даден период, изисквани от органите в различни по време проверки и ревизии</w:t>
      </w:r>
      <w:r w:rsidRPr="0052381B">
        <w:rPr>
          <w:rFonts w:ascii="Tahoma" w:hAnsi="Tahoma" w:cs="Tahoma"/>
          <w:sz w:val="24"/>
          <w:szCs w:val="24"/>
        </w:rPr>
        <w:t>;</w:t>
      </w:r>
    </w:p>
    <w:p w:rsidR="0052381B" w:rsidRPr="0052381B" w:rsidRDefault="0052381B" w:rsidP="007C78B5">
      <w:pPr>
        <w:pStyle w:val="ListParagraph"/>
        <w:numPr>
          <w:ilvl w:val="0"/>
          <w:numId w:val="3"/>
        </w:numPr>
        <w:spacing w:after="120" w:line="240" w:lineRule="auto"/>
        <w:ind w:left="567" w:hanging="425"/>
        <w:contextualSpacing w:val="0"/>
        <w:jc w:val="both"/>
        <w:rPr>
          <w:rFonts w:ascii="Tahoma" w:hAnsi="Tahoma" w:cs="Tahoma"/>
          <w:sz w:val="24"/>
          <w:szCs w:val="24"/>
        </w:rPr>
      </w:pPr>
      <w:r w:rsidRPr="0052381B">
        <w:rPr>
          <w:rFonts w:ascii="Tahoma" w:hAnsi="Tahoma" w:cs="Tahoma"/>
          <w:sz w:val="24"/>
          <w:szCs w:val="24"/>
        </w:rPr>
        <w:t>Изготвяне и подаване на формуляри за  периодична (краткосрочна) и годишна статистическа отчетност;</w:t>
      </w:r>
    </w:p>
    <w:p w:rsidR="0052381B" w:rsidRPr="0052381B" w:rsidRDefault="0052381B" w:rsidP="007C78B5">
      <w:pPr>
        <w:pStyle w:val="ListParagraph"/>
        <w:numPr>
          <w:ilvl w:val="0"/>
          <w:numId w:val="3"/>
        </w:numPr>
        <w:spacing w:after="120" w:line="240" w:lineRule="auto"/>
        <w:ind w:left="567" w:hanging="425"/>
        <w:contextualSpacing w:val="0"/>
        <w:jc w:val="both"/>
        <w:rPr>
          <w:rFonts w:ascii="Tahoma" w:hAnsi="Tahoma" w:cs="Tahoma"/>
          <w:sz w:val="24"/>
          <w:szCs w:val="24"/>
        </w:rPr>
      </w:pPr>
      <w:r w:rsidRPr="0052381B">
        <w:rPr>
          <w:rFonts w:ascii="Tahoma" w:hAnsi="Tahoma" w:cs="Tahoma"/>
          <w:sz w:val="24"/>
          <w:szCs w:val="24"/>
        </w:rPr>
        <w:t>Удостоверяване и заверка на осигурителен стаж. Подаване на документи за пенсиониране;</w:t>
      </w:r>
    </w:p>
    <w:p w:rsidR="0052381B" w:rsidRPr="0052381B" w:rsidRDefault="0052381B" w:rsidP="007C78B5">
      <w:pPr>
        <w:pStyle w:val="ListParagraph"/>
        <w:numPr>
          <w:ilvl w:val="0"/>
          <w:numId w:val="3"/>
        </w:numPr>
        <w:spacing w:after="120" w:line="240" w:lineRule="auto"/>
        <w:ind w:left="567" w:hanging="425"/>
        <w:contextualSpacing w:val="0"/>
        <w:jc w:val="both"/>
        <w:rPr>
          <w:rFonts w:ascii="Tahoma" w:hAnsi="Tahoma" w:cs="Tahoma"/>
          <w:sz w:val="24"/>
          <w:szCs w:val="24"/>
        </w:rPr>
      </w:pPr>
      <w:r w:rsidRPr="0052381B">
        <w:rPr>
          <w:rFonts w:ascii="Tahoma" w:hAnsi="Tahoma" w:cs="Tahoma"/>
          <w:sz w:val="24"/>
          <w:szCs w:val="24"/>
        </w:rPr>
        <w:t xml:space="preserve">Получаване на Удостоверение за наличие или липса на задължения </w:t>
      </w:r>
      <w:r w:rsidRPr="0052381B">
        <w:rPr>
          <w:rStyle w:val="Emphasis"/>
          <w:sz w:val="24"/>
          <w:szCs w:val="24"/>
        </w:rPr>
        <w:t>(предимно за предприятия в населени места, където няма офис на НАП)</w:t>
      </w:r>
      <w:r w:rsidRPr="0052381B">
        <w:rPr>
          <w:rFonts w:ascii="Tahoma" w:hAnsi="Tahoma" w:cs="Tahoma"/>
          <w:sz w:val="24"/>
          <w:szCs w:val="24"/>
        </w:rPr>
        <w:t>;</w:t>
      </w:r>
    </w:p>
    <w:p w:rsidR="0052381B" w:rsidRPr="0052381B" w:rsidRDefault="0052381B" w:rsidP="007C78B5">
      <w:pPr>
        <w:pStyle w:val="ListParagraph"/>
        <w:numPr>
          <w:ilvl w:val="0"/>
          <w:numId w:val="3"/>
        </w:numPr>
        <w:spacing w:after="120" w:line="240" w:lineRule="auto"/>
        <w:ind w:left="567" w:hanging="425"/>
        <w:contextualSpacing w:val="0"/>
        <w:jc w:val="both"/>
        <w:rPr>
          <w:rFonts w:ascii="Tahoma" w:hAnsi="Tahoma" w:cs="Tahoma"/>
          <w:sz w:val="24"/>
          <w:szCs w:val="24"/>
        </w:rPr>
      </w:pPr>
      <w:r w:rsidRPr="0052381B">
        <w:rPr>
          <w:rFonts w:ascii="Tahoma" w:hAnsi="Tahoma" w:cs="Tahoma"/>
          <w:sz w:val="24"/>
          <w:szCs w:val="24"/>
        </w:rPr>
        <w:t>Изясняване на данъчни въпроси, по които в секция „Въпроси и отговори“ в страницата на НАП има противоречащи си становища на различни дирекции на НАП;</w:t>
      </w:r>
    </w:p>
    <w:p w:rsidR="0052381B" w:rsidRPr="0052381B" w:rsidRDefault="0052381B" w:rsidP="007C78B5">
      <w:pPr>
        <w:pStyle w:val="ListParagraph"/>
        <w:numPr>
          <w:ilvl w:val="0"/>
          <w:numId w:val="3"/>
        </w:numPr>
        <w:spacing w:after="120" w:line="240" w:lineRule="auto"/>
        <w:ind w:left="567" w:hanging="425"/>
        <w:contextualSpacing w:val="0"/>
        <w:jc w:val="both"/>
        <w:rPr>
          <w:rFonts w:ascii="Tahoma" w:hAnsi="Tahoma" w:cs="Tahoma"/>
          <w:sz w:val="24"/>
          <w:szCs w:val="24"/>
        </w:rPr>
      </w:pPr>
      <w:r w:rsidRPr="0052381B">
        <w:rPr>
          <w:rFonts w:ascii="Tahoma" w:hAnsi="Tahoma" w:cs="Tahoma"/>
          <w:sz w:val="24"/>
          <w:szCs w:val="24"/>
        </w:rPr>
        <w:t>Изясняване на несъответствия в записите/архивите на НАП по подадени от задължените лица декларации за данъчни и осигурителни задължения и по извършените обвързвания и прихващания на суми от служители на НАП;</w:t>
      </w:r>
    </w:p>
    <w:p w:rsidR="008A1E1A" w:rsidRDefault="008A1E1A" w:rsidP="007C78B5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52381B" w:rsidRDefault="0052381B" w:rsidP="0052381B">
      <w:pPr>
        <w:pStyle w:val="Heading1"/>
        <w:jc w:val="both"/>
      </w:pPr>
      <w:r w:rsidRPr="0052381B">
        <w:lastRenderedPageBreak/>
        <w:t>Предложения за намаляване на времето, необходимо за деклариране и заплащане на данъчно-осигурителни задължения</w:t>
      </w:r>
    </w:p>
    <w:p w:rsidR="008A1E1A" w:rsidRPr="008A1E1A" w:rsidRDefault="008A1E1A" w:rsidP="008A1E1A"/>
    <w:p w:rsidR="0052381B" w:rsidRPr="0052381B" w:rsidRDefault="0052381B" w:rsidP="007C78B5">
      <w:pPr>
        <w:pStyle w:val="ListParagraph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52381B">
        <w:rPr>
          <w:rFonts w:ascii="Tahoma" w:hAnsi="Tahoma" w:cs="Tahoma"/>
          <w:sz w:val="24"/>
          <w:szCs w:val="24"/>
        </w:rPr>
        <w:t>Промени в приложимата нормативна уредба да се извършват не повече от веднъж годишно, преди началото на финансовата година;</w:t>
      </w:r>
    </w:p>
    <w:p w:rsidR="0052381B" w:rsidRPr="0052381B" w:rsidRDefault="0052381B" w:rsidP="007C78B5">
      <w:pPr>
        <w:pStyle w:val="ListParagraph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52381B">
        <w:rPr>
          <w:rFonts w:ascii="Tahoma" w:hAnsi="Tahoma" w:cs="Tahoma"/>
          <w:sz w:val="24"/>
          <w:szCs w:val="24"/>
        </w:rPr>
        <w:t xml:space="preserve">Въвеждане на </w:t>
      </w:r>
      <w:r w:rsidR="004034D2">
        <w:rPr>
          <w:rFonts w:ascii="Tahoma" w:hAnsi="Tahoma" w:cs="Tahoma"/>
          <w:sz w:val="24"/>
          <w:szCs w:val="24"/>
        </w:rPr>
        <w:t>задължение</w:t>
      </w:r>
      <w:r w:rsidRPr="0052381B">
        <w:rPr>
          <w:rFonts w:ascii="Tahoma" w:hAnsi="Tahoma" w:cs="Tahoma"/>
          <w:sz w:val="24"/>
          <w:szCs w:val="24"/>
        </w:rPr>
        <w:t xml:space="preserve"> НАП да издава юридически обвърз</w:t>
      </w:r>
      <w:r w:rsidR="00FB1728">
        <w:rPr>
          <w:rFonts w:ascii="Tahoma" w:hAnsi="Tahoma" w:cs="Tahoma"/>
          <w:sz w:val="24"/>
          <w:szCs w:val="24"/>
        </w:rPr>
        <w:t>в</w:t>
      </w:r>
      <w:r w:rsidRPr="0052381B">
        <w:rPr>
          <w:rFonts w:ascii="Tahoma" w:hAnsi="Tahoma" w:cs="Tahoma"/>
          <w:sz w:val="24"/>
          <w:szCs w:val="24"/>
        </w:rPr>
        <w:t>а</w:t>
      </w:r>
      <w:r w:rsidR="00FB1728">
        <w:rPr>
          <w:rFonts w:ascii="Tahoma" w:hAnsi="Tahoma" w:cs="Tahoma"/>
          <w:sz w:val="24"/>
          <w:szCs w:val="24"/>
        </w:rPr>
        <w:t>щ</w:t>
      </w:r>
      <w:r w:rsidRPr="0052381B">
        <w:rPr>
          <w:rFonts w:ascii="Tahoma" w:hAnsi="Tahoma" w:cs="Tahoma"/>
          <w:sz w:val="24"/>
          <w:szCs w:val="24"/>
        </w:rPr>
        <w:t>о становище по искане от страна на ДЗЛ. Това би довело до прекратяване на практиката НАП да издава различни становища по идентични казуси. Република България е единствената страна в ЕС, в която все още този въпрос не е уреден законодателно;</w:t>
      </w:r>
    </w:p>
    <w:p w:rsidR="0052381B" w:rsidRPr="0052381B" w:rsidRDefault="007344B5" w:rsidP="007C78B5">
      <w:pPr>
        <w:pStyle w:val="ListParagraph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Създаване на възможност </w:t>
      </w:r>
      <w:r w:rsidR="0052381B" w:rsidRPr="0052381B">
        <w:rPr>
          <w:rFonts w:ascii="Tahoma" w:hAnsi="Tahoma" w:cs="Tahoma"/>
          <w:sz w:val="24"/>
          <w:szCs w:val="24"/>
        </w:rPr>
        <w:t xml:space="preserve">Удостоверението за наличие или липса на задължение по чл. 87, ал. 6 от ДОПК </w:t>
      </w:r>
      <w:r>
        <w:rPr>
          <w:rFonts w:ascii="Tahoma" w:hAnsi="Tahoma" w:cs="Tahoma"/>
          <w:sz w:val="24"/>
          <w:szCs w:val="24"/>
        </w:rPr>
        <w:t xml:space="preserve">да </w:t>
      </w:r>
      <w:r w:rsidR="0052381B" w:rsidRPr="0052381B">
        <w:rPr>
          <w:rFonts w:ascii="Tahoma" w:hAnsi="Tahoma" w:cs="Tahoma"/>
          <w:sz w:val="24"/>
          <w:szCs w:val="24"/>
        </w:rPr>
        <w:t xml:space="preserve">се получава по електронен път, подписано с електронен подпис от служител на НАП </w:t>
      </w:r>
      <w:r w:rsidR="0052381B" w:rsidRPr="007344B5">
        <w:rPr>
          <w:rStyle w:val="Emphasis"/>
          <w:sz w:val="24"/>
          <w:szCs w:val="24"/>
        </w:rPr>
        <w:t>(аналог – електронно</w:t>
      </w:r>
      <w:r>
        <w:rPr>
          <w:rStyle w:val="Emphasis"/>
          <w:sz w:val="24"/>
          <w:szCs w:val="24"/>
        </w:rPr>
        <w:t>то</w:t>
      </w:r>
      <w:r w:rsidR="0052381B" w:rsidRPr="007344B5">
        <w:rPr>
          <w:rStyle w:val="Emphasis"/>
          <w:sz w:val="24"/>
          <w:szCs w:val="24"/>
        </w:rPr>
        <w:t xml:space="preserve"> свидетелство за съдимост)</w:t>
      </w:r>
      <w:r w:rsidR="0052381B" w:rsidRPr="0052381B">
        <w:rPr>
          <w:rFonts w:ascii="Tahoma" w:hAnsi="Tahoma" w:cs="Tahoma"/>
          <w:sz w:val="24"/>
          <w:szCs w:val="24"/>
        </w:rPr>
        <w:t>;</w:t>
      </w:r>
    </w:p>
    <w:p w:rsidR="0052381B" w:rsidRPr="0052381B" w:rsidRDefault="0052381B" w:rsidP="007C78B5">
      <w:pPr>
        <w:pStyle w:val="ListParagraph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52381B">
        <w:rPr>
          <w:rFonts w:ascii="Tahoma" w:hAnsi="Tahoma" w:cs="Tahoma"/>
          <w:sz w:val="24"/>
          <w:szCs w:val="24"/>
        </w:rPr>
        <w:t>Електронно подаване на документи в НОИ за изчисляване и изплащане на парични обезщетения за временна неработоспособност;</w:t>
      </w:r>
    </w:p>
    <w:p w:rsidR="0052381B" w:rsidRPr="0052381B" w:rsidRDefault="0052381B" w:rsidP="007C78B5">
      <w:pPr>
        <w:pStyle w:val="ListParagraph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52381B">
        <w:rPr>
          <w:rFonts w:ascii="Tahoma" w:hAnsi="Tahoma" w:cs="Tahoma"/>
          <w:sz w:val="24"/>
          <w:szCs w:val="24"/>
        </w:rPr>
        <w:t xml:space="preserve">Въвеждане на задължителна оценка на въздействието на промените в нормативната уредба с фокус върху </w:t>
      </w:r>
      <w:r w:rsidR="00E12E11">
        <w:rPr>
          <w:rFonts w:ascii="Tahoma" w:hAnsi="Tahoma" w:cs="Tahoma"/>
          <w:sz w:val="24"/>
          <w:szCs w:val="24"/>
        </w:rPr>
        <w:t>малките предприятия</w:t>
      </w:r>
      <w:r w:rsidRPr="0052381B">
        <w:rPr>
          <w:rFonts w:ascii="Tahoma" w:hAnsi="Tahoma" w:cs="Tahoma"/>
          <w:sz w:val="24"/>
          <w:szCs w:val="24"/>
        </w:rPr>
        <w:t>;</w:t>
      </w:r>
    </w:p>
    <w:p w:rsidR="0052381B" w:rsidRPr="0052381B" w:rsidRDefault="0052381B" w:rsidP="007C78B5">
      <w:pPr>
        <w:pStyle w:val="ListParagraph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52381B">
        <w:rPr>
          <w:rFonts w:ascii="Tahoma" w:hAnsi="Tahoma" w:cs="Tahoma"/>
          <w:sz w:val="24"/>
          <w:szCs w:val="24"/>
        </w:rPr>
        <w:t xml:space="preserve">Отпадане на задължението за изготвяне на дневници за покупки и продажби </w:t>
      </w:r>
      <w:r w:rsidR="00627F2F">
        <w:rPr>
          <w:rFonts w:ascii="Tahoma" w:hAnsi="Tahoma" w:cs="Tahoma"/>
          <w:sz w:val="24"/>
          <w:szCs w:val="24"/>
        </w:rPr>
        <w:t>по ЗДДС – практиката е зас</w:t>
      </w:r>
      <w:r w:rsidR="00453F6F">
        <w:rPr>
          <w:rFonts w:ascii="Tahoma" w:hAnsi="Tahoma" w:cs="Tahoma"/>
          <w:sz w:val="24"/>
          <w:szCs w:val="24"/>
        </w:rPr>
        <w:t>тъпена</w:t>
      </w:r>
      <w:r w:rsidR="00627F2F">
        <w:rPr>
          <w:rFonts w:ascii="Tahoma" w:hAnsi="Tahoma" w:cs="Tahoma"/>
          <w:sz w:val="24"/>
          <w:szCs w:val="24"/>
        </w:rPr>
        <w:t xml:space="preserve"> </w:t>
      </w:r>
      <w:r w:rsidRPr="0052381B">
        <w:rPr>
          <w:rFonts w:ascii="Tahoma" w:hAnsi="Tahoma" w:cs="Tahoma"/>
          <w:sz w:val="24"/>
          <w:szCs w:val="24"/>
        </w:rPr>
        <w:t>в повечето страни-членки на ЕС</w:t>
      </w:r>
      <w:r w:rsidR="00627F2F">
        <w:rPr>
          <w:rFonts w:ascii="Tahoma" w:hAnsi="Tahoma" w:cs="Tahoma"/>
          <w:sz w:val="24"/>
          <w:szCs w:val="24"/>
        </w:rPr>
        <w:t>.</w:t>
      </w:r>
      <w:r w:rsidRPr="0052381B">
        <w:rPr>
          <w:rFonts w:ascii="Tahoma" w:hAnsi="Tahoma" w:cs="Tahoma"/>
          <w:sz w:val="24"/>
          <w:szCs w:val="24"/>
        </w:rPr>
        <w:t xml:space="preserve"> </w:t>
      </w:r>
      <w:r w:rsidR="00627F2F">
        <w:rPr>
          <w:rFonts w:ascii="Tahoma" w:hAnsi="Tahoma" w:cs="Tahoma"/>
          <w:sz w:val="24"/>
          <w:szCs w:val="24"/>
        </w:rPr>
        <w:t>П</w:t>
      </w:r>
      <w:r w:rsidRPr="0052381B">
        <w:rPr>
          <w:rFonts w:ascii="Tahoma" w:hAnsi="Tahoma" w:cs="Tahoma"/>
          <w:sz w:val="24"/>
          <w:szCs w:val="24"/>
        </w:rPr>
        <w:t xml:space="preserve">одаване на тримесечни </w:t>
      </w:r>
      <w:r w:rsidR="00627F2F">
        <w:rPr>
          <w:rFonts w:ascii="Tahoma" w:hAnsi="Tahoma" w:cs="Tahoma"/>
          <w:sz w:val="24"/>
          <w:szCs w:val="24"/>
        </w:rPr>
        <w:t>д</w:t>
      </w:r>
      <w:r w:rsidRPr="0052381B">
        <w:rPr>
          <w:rFonts w:ascii="Tahoma" w:hAnsi="Tahoma" w:cs="Tahoma"/>
          <w:sz w:val="24"/>
          <w:szCs w:val="24"/>
        </w:rPr>
        <w:t>екларации по ЗДДС;</w:t>
      </w:r>
    </w:p>
    <w:p w:rsidR="0052381B" w:rsidRPr="0052381B" w:rsidRDefault="0052381B" w:rsidP="007C78B5">
      <w:pPr>
        <w:pStyle w:val="ListParagraph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52381B">
        <w:rPr>
          <w:rFonts w:ascii="Tahoma" w:hAnsi="Tahoma" w:cs="Tahoma"/>
          <w:sz w:val="24"/>
          <w:szCs w:val="24"/>
        </w:rPr>
        <w:t xml:space="preserve">Отпадане на необходимостта от изготвяне на удостоверения за пенсиониране, за периоди след 2000 г. </w:t>
      </w:r>
      <w:r w:rsidRPr="00453F6F">
        <w:rPr>
          <w:rStyle w:val="Emphasis"/>
          <w:sz w:val="24"/>
          <w:szCs w:val="24"/>
        </w:rPr>
        <w:t>(дублиране на данни с декларация обр. 1)</w:t>
      </w:r>
      <w:r w:rsidRPr="0052381B">
        <w:rPr>
          <w:rFonts w:ascii="Tahoma" w:hAnsi="Tahoma" w:cs="Tahoma"/>
          <w:sz w:val="24"/>
          <w:szCs w:val="24"/>
        </w:rPr>
        <w:t>;</w:t>
      </w:r>
    </w:p>
    <w:p w:rsidR="0052381B" w:rsidRPr="0052381B" w:rsidRDefault="0052381B" w:rsidP="007C78B5">
      <w:pPr>
        <w:pStyle w:val="ListParagraph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52381B">
        <w:rPr>
          <w:rFonts w:ascii="Tahoma" w:hAnsi="Tahoma" w:cs="Tahoma"/>
          <w:sz w:val="24"/>
          <w:szCs w:val="24"/>
        </w:rPr>
        <w:t>Във всички общински центрове да се открият гишета на НАП за плащане на данъчни и осигурителни задължения (в които извършването на плащане от страна на ФЛ е безплатно, а от ЮЛ – при минимални такси за превод);</w:t>
      </w:r>
    </w:p>
    <w:p w:rsidR="0052381B" w:rsidRPr="0052381B" w:rsidRDefault="0052381B" w:rsidP="007C78B5">
      <w:pPr>
        <w:pStyle w:val="ListParagraph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52381B">
        <w:rPr>
          <w:rFonts w:ascii="Tahoma" w:hAnsi="Tahoma" w:cs="Tahoma"/>
          <w:sz w:val="24"/>
          <w:szCs w:val="24"/>
        </w:rPr>
        <w:t>Всички актуални бланки на декларации, заявления и други документи, необходими за извършване на процедури като регистрации и деклариране, да бъдат качвани своевременно на сайта на НАП или съответната държавна институция;</w:t>
      </w:r>
    </w:p>
    <w:p w:rsidR="0052381B" w:rsidRPr="0052381B" w:rsidRDefault="0052381B" w:rsidP="007C78B5">
      <w:pPr>
        <w:pStyle w:val="ListParagraph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52381B">
        <w:rPr>
          <w:rFonts w:ascii="Tahoma" w:hAnsi="Tahoma" w:cs="Tahoma"/>
          <w:sz w:val="24"/>
          <w:szCs w:val="24"/>
        </w:rPr>
        <w:t xml:space="preserve">Създаване на възможност за интегриране на информация и плащане на задължения към бюджета по електронен път, чрез каналите за електронно банкиране предоставяни от търговските банки </w:t>
      </w:r>
      <w:r w:rsidRPr="00313B1A">
        <w:rPr>
          <w:rStyle w:val="Emphasis"/>
          <w:sz w:val="24"/>
          <w:szCs w:val="24"/>
        </w:rPr>
        <w:t>(понастоящем услугата е достъпна единствено чрез ePay.bg)</w:t>
      </w:r>
      <w:r w:rsidRPr="0052381B">
        <w:rPr>
          <w:rFonts w:ascii="Tahoma" w:hAnsi="Tahoma" w:cs="Tahoma"/>
          <w:sz w:val="24"/>
          <w:szCs w:val="24"/>
        </w:rPr>
        <w:t>;</w:t>
      </w:r>
    </w:p>
    <w:p w:rsidR="009E462A" w:rsidRDefault="0052381B" w:rsidP="007C78B5">
      <w:pPr>
        <w:pStyle w:val="ListParagraph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52381B">
        <w:rPr>
          <w:rFonts w:ascii="Tahoma" w:hAnsi="Tahoma" w:cs="Tahoma"/>
          <w:sz w:val="24"/>
          <w:szCs w:val="24"/>
        </w:rPr>
        <w:t>Да се осигури по-добра раб</w:t>
      </w:r>
      <w:r w:rsidR="00F520FB">
        <w:rPr>
          <w:rFonts w:ascii="Tahoma" w:hAnsi="Tahoma" w:cs="Tahoma"/>
          <w:sz w:val="24"/>
          <w:szCs w:val="24"/>
        </w:rPr>
        <w:t>ота на сайта и сървърите на НАП.</w:t>
      </w:r>
    </w:p>
    <w:p w:rsidR="0085569D" w:rsidRDefault="0085569D" w:rsidP="0085569D">
      <w:pPr>
        <w:spacing w:after="150" w:line="240" w:lineRule="auto"/>
        <w:jc w:val="both"/>
        <w:rPr>
          <w:rFonts w:ascii="Tahoma" w:hAnsi="Tahoma" w:cs="Tahoma"/>
          <w:sz w:val="24"/>
          <w:szCs w:val="24"/>
        </w:rPr>
      </w:pPr>
    </w:p>
    <w:p w:rsidR="0085569D" w:rsidRDefault="0085569D" w:rsidP="0085569D">
      <w:pPr>
        <w:spacing w:after="15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БСК, Ноември 2015 г.</w:t>
      </w:r>
    </w:p>
    <w:p w:rsidR="0085569D" w:rsidRPr="0085569D" w:rsidRDefault="0085569D" w:rsidP="0085569D">
      <w:pPr>
        <w:spacing w:after="15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гр. София</w:t>
      </w:r>
    </w:p>
    <w:p w:rsidR="009E462A" w:rsidRPr="0052381B" w:rsidRDefault="009E462A" w:rsidP="0052381B">
      <w:pPr>
        <w:spacing w:after="15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110A28" w:rsidRPr="0052381B" w:rsidRDefault="00110A28" w:rsidP="00EE168A">
      <w:pPr>
        <w:spacing w:after="150" w:line="240" w:lineRule="auto"/>
        <w:rPr>
          <w:rFonts w:ascii="Tahoma" w:hAnsi="Tahoma" w:cs="Tahoma"/>
          <w:sz w:val="24"/>
          <w:szCs w:val="24"/>
        </w:rPr>
      </w:pPr>
      <w:r w:rsidRPr="0052381B">
        <w:rPr>
          <w:rFonts w:ascii="Tahoma" w:hAnsi="Tahoma" w:cs="Tahoma"/>
          <w:sz w:val="24"/>
          <w:szCs w:val="24"/>
        </w:rPr>
        <w:br w:type="page"/>
      </w:r>
    </w:p>
    <w:p w:rsidR="0052381B" w:rsidRDefault="0052381B" w:rsidP="009E462A">
      <w:pPr>
        <w:spacing w:line="240" w:lineRule="auto"/>
        <w:jc w:val="both"/>
        <w:rPr>
          <w:rFonts w:ascii="Tahoma" w:hAnsi="Tahoma" w:cs="Tahoma"/>
          <w:sz w:val="20"/>
          <w:szCs w:val="20"/>
        </w:rPr>
        <w:sectPr w:rsidR="0052381B" w:rsidSect="007C78B5">
          <w:footerReference w:type="default" r:id="rId8"/>
          <w:footerReference w:type="first" r:id="rId9"/>
          <w:pgSz w:w="12240" w:h="15840"/>
          <w:pgMar w:top="679" w:right="1041" w:bottom="993" w:left="1276" w:header="284" w:footer="333" w:gutter="0"/>
          <w:cols w:space="708"/>
          <w:titlePg/>
          <w:docGrid w:linePitch="360"/>
        </w:sectPr>
      </w:pPr>
    </w:p>
    <w:p w:rsidR="0052381B" w:rsidRPr="00693162" w:rsidRDefault="0052381B" w:rsidP="0052381B">
      <w:pPr>
        <w:jc w:val="right"/>
        <w:rPr>
          <w:i/>
        </w:rPr>
      </w:pPr>
      <w:r w:rsidRPr="00693162">
        <w:rPr>
          <w:i/>
        </w:rPr>
        <w:lastRenderedPageBreak/>
        <w:t>Приложение 1</w:t>
      </w:r>
    </w:p>
    <w:p w:rsidR="0052381B" w:rsidRDefault="0052381B" w:rsidP="0052381B">
      <w:pPr>
        <w:jc w:val="both"/>
      </w:pPr>
      <w:r>
        <w:rPr>
          <w:noProof/>
        </w:rPr>
        <w:drawing>
          <wp:inline distT="0" distB="0" distL="0" distR="0" wp14:anchorId="5F653C71" wp14:editId="49CCA274">
            <wp:extent cx="9467850" cy="436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77562" cy="43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9E7" w:rsidRPr="009E462A" w:rsidRDefault="0052381B" w:rsidP="0052381B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i/>
        </w:rPr>
        <w:t xml:space="preserve">Източник: </w:t>
      </w:r>
      <w:hyperlink r:id="rId11" w:history="1">
        <w:r w:rsidRPr="008F734C">
          <w:rPr>
            <w:rStyle w:val="Hyperlink"/>
            <w:i/>
          </w:rPr>
          <w:t>http://daily.bia-bg.com/LegislationSpam.html</w:t>
        </w:r>
      </w:hyperlink>
    </w:p>
    <w:sectPr w:rsidR="007019E7" w:rsidRPr="009E462A" w:rsidSect="0052381B">
      <w:pgSz w:w="15840" w:h="12240" w:orient="landscape"/>
      <w:pgMar w:top="1418" w:right="680" w:bottom="1327" w:left="992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AC7" w:rsidRDefault="00FB0AC7" w:rsidP="009E462A">
      <w:pPr>
        <w:spacing w:after="0" w:line="240" w:lineRule="auto"/>
      </w:pPr>
      <w:r>
        <w:separator/>
      </w:r>
    </w:p>
  </w:endnote>
  <w:endnote w:type="continuationSeparator" w:id="0">
    <w:p w:rsidR="00FB0AC7" w:rsidRDefault="00FB0AC7" w:rsidP="009E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AD6" w:rsidRPr="00BC5A45" w:rsidRDefault="008A1C41" w:rsidP="002B6281">
    <w:pPr>
      <w:pStyle w:val="Footer"/>
      <w:jc w:val="right"/>
      <w:rPr>
        <w:rFonts w:ascii="Tahoma" w:hAnsi="Tahoma" w:cs="Tahoma"/>
        <w:sz w:val="16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-93345</wp:posOffset>
          </wp:positionV>
          <wp:extent cx="1979930" cy="306070"/>
          <wp:effectExtent l="0" t="0" r="0" b="0"/>
          <wp:wrapTight wrapText="bothSides">
            <wp:wrapPolygon edited="0">
              <wp:start x="623" y="0"/>
              <wp:lineTo x="0" y="2689"/>
              <wp:lineTo x="0" y="17477"/>
              <wp:lineTo x="623" y="20166"/>
              <wp:lineTo x="1870" y="20166"/>
              <wp:lineTo x="20575" y="17477"/>
              <wp:lineTo x="20575" y="2689"/>
              <wp:lineTo x="1870" y="0"/>
              <wp:lineTo x="623" y="0"/>
            </wp:wrapPolygon>
          </wp:wrapTight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-150496</wp:posOffset>
              </wp:positionV>
              <wp:extent cx="6047740" cy="0"/>
              <wp:effectExtent l="0" t="0" r="29210" b="19050"/>
              <wp:wrapNone/>
              <wp:docPr id="35" name="Straight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67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9987F7" id="Straight Connector 3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-11.85pt" to="476.2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" strokecolor="#004678" strokeweight=".5pt">
              <v:stroke joinstyle="miter"/>
              <o:lock v:ext="edit" shapetype="f"/>
            </v:line>
          </w:pict>
        </mc:Fallback>
      </mc:AlternateContent>
    </w:r>
    <w:proofErr w:type="spellStart"/>
    <w:r w:rsidR="006E0B8D">
      <w:rPr>
        <w:rFonts w:ascii="Tahoma" w:hAnsi="Tahoma" w:cs="Tahoma"/>
        <w:sz w:val="16"/>
        <w:szCs w:val="18"/>
        <w:lang w:val="en-US"/>
      </w:rPr>
      <w:t>Стр</w:t>
    </w:r>
    <w:proofErr w:type="spellEnd"/>
    <w:r w:rsidR="006E0B8D">
      <w:rPr>
        <w:rFonts w:ascii="Tahoma" w:hAnsi="Tahoma" w:cs="Tahoma"/>
        <w:sz w:val="16"/>
        <w:szCs w:val="18"/>
        <w:lang w:val="en-US"/>
      </w:rPr>
      <w:t>.</w:t>
    </w:r>
    <w:r w:rsidR="00631AD6" w:rsidRPr="00BC5A45">
      <w:rPr>
        <w:rFonts w:ascii="Tahoma" w:hAnsi="Tahoma" w:cs="Tahoma"/>
        <w:sz w:val="16"/>
        <w:szCs w:val="18"/>
      </w:rPr>
      <w:t xml:space="preserve"> 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begin"/>
    </w:r>
    <w:r w:rsidR="00631AD6" w:rsidRPr="00BC5A45">
      <w:rPr>
        <w:rFonts w:ascii="Tahoma" w:hAnsi="Tahoma" w:cs="Tahoma"/>
        <w:b/>
        <w:bCs/>
        <w:sz w:val="16"/>
        <w:szCs w:val="18"/>
      </w:rPr>
      <w:instrText xml:space="preserve"> PAGE </w:instrTex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separate"/>
    </w:r>
    <w:r w:rsidR="00664878">
      <w:rPr>
        <w:rFonts w:ascii="Tahoma" w:hAnsi="Tahoma" w:cs="Tahoma"/>
        <w:b/>
        <w:bCs/>
        <w:noProof/>
        <w:sz w:val="16"/>
        <w:szCs w:val="18"/>
      </w:rPr>
      <w:t>2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end"/>
    </w:r>
    <w:r w:rsidR="00631AD6" w:rsidRPr="00BC5A45">
      <w:rPr>
        <w:rFonts w:ascii="Tahoma" w:hAnsi="Tahoma" w:cs="Tahoma"/>
        <w:sz w:val="16"/>
        <w:szCs w:val="18"/>
      </w:rPr>
      <w:t xml:space="preserve"> </w:t>
    </w:r>
    <w:r w:rsidR="006E0B8D">
      <w:rPr>
        <w:rFonts w:ascii="Tahoma" w:hAnsi="Tahoma" w:cs="Tahoma"/>
        <w:sz w:val="16"/>
        <w:szCs w:val="18"/>
      </w:rPr>
      <w:t>от</w:t>
    </w:r>
    <w:r w:rsidR="00631AD6" w:rsidRPr="00BC5A45">
      <w:rPr>
        <w:rFonts w:ascii="Tahoma" w:hAnsi="Tahoma" w:cs="Tahoma"/>
        <w:sz w:val="16"/>
        <w:szCs w:val="18"/>
      </w:rPr>
      <w:t xml:space="preserve"> 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begin"/>
    </w:r>
    <w:r w:rsidR="00631AD6" w:rsidRPr="00BC5A45">
      <w:rPr>
        <w:rFonts w:ascii="Tahoma" w:hAnsi="Tahoma" w:cs="Tahoma"/>
        <w:b/>
        <w:bCs/>
        <w:sz w:val="16"/>
        <w:szCs w:val="18"/>
      </w:rPr>
      <w:instrText xml:space="preserve"> NUMPAGES  </w:instrTex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separate"/>
    </w:r>
    <w:r w:rsidR="00664878">
      <w:rPr>
        <w:rFonts w:ascii="Tahoma" w:hAnsi="Tahoma" w:cs="Tahoma"/>
        <w:b/>
        <w:bCs/>
        <w:noProof/>
        <w:sz w:val="16"/>
        <w:szCs w:val="18"/>
      </w:rPr>
      <w:t>3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87" w:rsidRPr="006E0B8D" w:rsidRDefault="006E0B8D" w:rsidP="006E0B8D">
    <w:pPr>
      <w:pStyle w:val="Footer"/>
      <w:pBdr>
        <w:top w:val="single" w:sz="4" w:space="1" w:color="004678"/>
      </w:pBdr>
      <w:jc w:val="center"/>
      <w:rPr>
        <w:sz w:val="18"/>
        <w:szCs w:val="18"/>
        <w:lang w:val="en-US"/>
      </w:rPr>
    </w:pPr>
    <w:r>
      <w:rPr>
        <w:sz w:val="18"/>
        <w:szCs w:val="18"/>
      </w:rPr>
      <w:t>Адрес</w:t>
    </w:r>
    <w:r w:rsidR="00DA0F87" w:rsidRPr="006E0B8D">
      <w:rPr>
        <w:sz w:val="18"/>
        <w:szCs w:val="18"/>
        <w:lang w:val="en-US"/>
      </w:rPr>
      <w:t xml:space="preserve">: 1000 </w:t>
    </w:r>
    <w:r>
      <w:rPr>
        <w:sz w:val="18"/>
        <w:szCs w:val="18"/>
      </w:rPr>
      <w:t>София</w:t>
    </w:r>
    <w:r w:rsidR="00DA0F87" w:rsidRPr="006E0B8D">
      <w:rPr>
        <w:sz w:val="18"/>
        <w:szCs w:val="18"/>
        <w:lang w:val="en-US"/>
      </w:rPr>
      <w:t xml:space="preserve">, </w:t>
    </w:r>
    <w:r>
      <w:rPr>
        <w:sz w:val="18"/>
        <w:szCs w:val="18"/>
      </w:rPr>
      <w:t>ул. Алабин</w:t>
    </w:r>
    <w:r w:rsidR="00DA0F87" w:rsidRPr="006E0B8D">
      <w:rPr>
        <w:sz w:val="18"/>
        <w:szCs w:val="18"/>
        <w:lang w:val="en-US"/>
      </w:rPr>
      <w:t xml:space="preserve"> 16-20, </w:t>
    </w:r>
    <w:r>
      <w:rPr>
        <w:sz w:val="18"/>
        <w:szCs w:val="18"/>
      </w:rPr>
      <w:t>тел.:</w:t>
    </w:r>
    <w:r w:rsidR="00DA0F87" w:rsidRPr="006E0B8D">
      <w:rPr>
        <w:sz w:val="18"/>
        <w:szCs w:val="18"/>
        <w:lang w:val="en-US"/>
      </w:rPr>
      <w:t xml:space="preserve"> +359 2 932 09 11, </w:t>
    </w:r>
    <w:r>
      <w:rPr>
        <w:sz w:val="18"/>
        <w:szCs w:val="18"/>
      </w:rPr>
      <w:t>факс:</w:t>
    </w:r>
    <w:r w:rsidR="00DA0F87" w:rsidRPr="006E0B8D">
      <w:rPr>
        <w:sz w:val="18"/>
        <w:szCs w:val="18"/>
        <w:lang w:val="en-US"/>
      </w:rPr>
      <w:t xml:space="preserve"> +359 2 987 26 04</w:t>
    </w:r>
  </w:p>
  <w:p w:rsidR="00DA0F87" w:rsidRPr="00DA0F87" w:rsidRDefault="006E0B8D" w:rsidP="00DA0F87">
    <w:pPr>
      <w:pStyle w:val="Footer"/>
      <w:jc w:val="center"/>
      <w:rPr>
        <w:sz w:val="20"/>
        <w:lang w:val="en-US"/>
      </w:rPr>
    </w:pPr>
    <w:r>
      <w:rPr>
        <w:sz w:val="18"/>
        <w:szCs w:val="18"/>
        <w:lang w:val="en-US"/>
      </w:rPr>
      <w:t>Е</w:t>
    </w:r>
    <w:r w:rsidR="00DA0F87" w:rsidRPr="006E0B8D">
      <w:rPr>
        <w:sz w:val="18"/>
        <w:szCs w:val="18"/>
        <w:lang w:val="en-US"/>
      </w:rPr>
      <w:t xml:space="preserve">-mail: </w:t>
    </w:r>
    <w:hyperlink r:id="rId1" w:history="1">
      <w:r w:rsidR="00DA0F87" w:rsidRPr="006E0B8D">
        <w:rPr>
          <w:rStyle w:val="Hyperlink"/>
          <w:sz w:val="18"/>
          <w:szCs w:val="18"/>
          <w:lang w:val="en-US"/>
        </w:rPr>
        <w:t>office@bia-bg.com</w:t>
      </w:r>
    </w:hyperlink>
    <w:r w:rsidR="00DA0F87" w:rsidRPr="006E0B8D">
      <w:rPr>
        <w:sz w:val="18"/>
        <w:szCs w:val="18"/>
        <w:lang w:val="en-US"/>
      </w:rPr>
      <w:t xml:space="preserve">, web site: </w:t>
    </w:r>
    <w:hyperlink r:id="rId2" w:history="1">
      <w:r w:rsidR="00DA0F87" w:rsidRPr="006E0B8D">
        <w:rPr>
          <w:rStyle w:val="Hyperlink"/>
          <w:sz w:val="18"/>
          <w:szCs w:val="18"/>
          <w:lang w:val="en-US"/>
        </w:rPr>
        <w:t>www.bia-bg.com</w:t>
      </w:r>
    </w:hyperlink>
    <w:r w:rsidR="00DA0F87" w:rsidRPr="006E0B8D">
      <w:rPr>
        <w:sz w:val="18"/>
        <w:szCs w:val="18"/>
        <w:lang w:val="en-US"/>
      </w:rPr>
      <w:t xml:space="preserve">, FB: </w:t>
    </w:r>
    <w:hyperlink r:id="rId3" w:history="1">
      <w:r w:rsidR="00DA0F87" w:rsidRPr="006E0B8D">
        <w:rPr>
          <w:rStyle w:val="Hyperlink"/>
          <w:sz w:val="18"/>
          <w:szCs w:val="18"/>
          <w:lang w:val="en-US"/>
        </w:rPr>
        <w:t>www.facebook.com/BusinessBulgaria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AC7" w:rsidRDefault="00FB0AC7" w:rsidP="009E462A">
      <w:pPr>
        <w:spacing w:after="0" w:line="240" w:lineRule="auto"/>
      </w:pPr>
      <w:r>
        <w:separator/>
      </w:r>
    </w:p>
  </w:footnote>
  <w:footnote w:type="continuationSeparator" w:id="0">
    <w:p w:rsidR="00FB0AC7" w:rsidRDefault="00FB0AC7" w:rsidP="009E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E7F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42276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6D1D42CA"/>
    <w:multiLevelType w:val="multilevel"/>
    <w:tmpl w:val="BB263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E1822A0"/>
    <w:multiLevelType w:val="hybridMultilevel"/>
    <w:tmpl w:val="18F85F5E"/>
    <w:lvl w:ilvl="0" w:tplc="BEC052C8">
      <w:numFmt w:val="bullet"/>
      <w:lvlText w:val="•"/>
      <w:lvlJc w:val="left"/>
      <w:pPr>
        <w:ind w:left="1080" w:hanging="72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41"/>
    <w:rsid w:val="00010700"/>
    <w:rsid w:val="00061F31"/>
    <w:rsid w:val="000C3F97"/>
    <w:rsid w:val="00107288"/>
    <w:rsid w:val="00110A28"/>
    <w:rsid w:val="0016783C"/>
    <w:rsid w:val="001C3861"/>
    <w:rsid w:val="0021222B"/>
    <w:rsid w:val="002201A1"/>
    <w:rsid w:val="002B6281"/>
    <w:rsid w:val="00313B1A"/>
    <w:rsid w:val="00326167"/>
    <w:rsid w:val="0033503A"/>
    <w:rsid w:val="00373E63"/>
    <w:rsid w:val="003B02BD"/>
    <w:rsid w:val="004034D2"/>
    <w:rsid w:val="00407509"/>
    <w:rsid w:val="00444348"/>
    <w:rsid w:val="00453F6F"/>
    <w:rsid w:val="004A6D80"/>
    <w:rsid w:val="0052381B"/>
    <w:rsid w:val="005C014C"/>
    <w:rsid w:val="006021DE"/>
    <w:rsid w:val="00605DE8"/>
    <w:rsid w:val="00615D1A"/>
    <w:rsid w:val="006162A6"/>
    <w:rsid w:val="00620448"/>
    <w:rsid w:val="00627F2F"/>
    <w:rsid w:val="00631AD6"/>
    <w:rsid w:val="00664878"/>
    <w:rsid w:val="006A53F4"/>
    <w:rsid w:val="006C6404"/>
    <w:rsid w:val="006E0B8D"/>
    <w:rsid w:val="007019E7"/>
    <w:rsid w:val="007344B5"/>
    <w:rsid w:val="007A0AF5"/>
    <w:rsid w:val="007C78B5"/>
    <w:rsid w:val="0085569D"/>
    <w:rsid w:val="008A1C41"/>
    <w:rsid w:val="008A1E1A"/>
    <w:rsid w:val="00974B8D"/>
    <w:rsid w:val="00985C62"/>
    <w:rsid w:val="009912C7"/>
    <w:rsid w:val="0099373C"/>
    <w:rsid w:val="009E462A"/>
    <w:rsid w:val="009E60A9"/>
    <w:rsid w:val="00A04146"/>
    <w:rsid w:val="00A11BDC"/>
    <w:rsid w:val="00B60B1E"/>
    <w:rsid w:val="00B95D4E"/>
    <w:rsid w:val="00BC5A45"/>
    <w:rsid w:val="00BD6195"/>
    <w:rsid w:val="00C02F97"/>
    <w:rsid w:val="00D171E9"/>
    <w:rsid w:val="00DA0F87"/>
    <w:rsid w:val="00E12E11"/>
    <w:rsid w:val="00E35EFC"/>
    <w:rsid w:val="00E551CB"/>
    <w:rsid w:val="00E7523A"/>
    <w:rsid w:val="00E841FA"/>
    <w:rsid w:val="00EE168A"/>
    <w:rsid w:val="00EF478F"/>
    <w:rsid w:val="00F520FB"/>
    <w:rsid w:val="00F55120"/>
    <w:rsid w:val="00F724ED"/>
    <w:rsid w:val="00FA0BD1"/>
    <w:rsid w:val="00FB0AC7"/>
    <w:rsid w:val="00FB1728"/>
    <w:rsid w:val="00FD160A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2C7A62-FF6D-4AE0-B7BC-8B0AD281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8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2A"/>
  </w:style>
  <w:style w:type="paragraph" w:styleId="Footer">
    <w:name w:val="footer"/>
    <w:basedOn w:val="Normal"/>
    <w:link w:val="FooterChar"/>
    <w:uiPriority w:val="99"/>
    <w:unhideWhenUsed/>
    <w:rsid w:val="009E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2A"/>
  </w:style>
  <w:style w:type="table" w:styleId="TableGrid">
    <w:name w:val="Table Grid"/>
    <w:basedOn w:val="TableNormal"/>
    <w:uiPriority w:val="39"/>
    <w:rsid w:val="009E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462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5A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38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38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 w:eastAsia="bg-BG"/>
    </w:rPr>
  </w:style>
  <w:style w:type="character" w:styleId="Emphasis">
    <w:name w:val="Emphasis"/>
    <w:basedOn w:val="DefaultParagraphFont"/>
    <w:uiPriority w:val="20"/>
    <w:qFormat/>
    <w:rsid w:val="0052381B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22B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22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ily.bia-bg.com/LegislationSpam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BusinessBulgaria" TargetMode="External"/><Relationship Id="rId2" Type="http://schemas.openxmlformats.org/officeDocument/2006/relationships/hyperlink" Target="http://www.bia-bg.com" TargetMode="External"/><Relationship Id="rId1" Type="http://schemas.openxmlformats.org/officeDocument/2006/relationships/hyperlink" Target="mailto:office@bia-b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donchev\Desktop\BIA_BG-blan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BIA_BG-blanka.dot</Template>
  <TotalTime>29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3940</CharactersWithSpaces>
  <SharedDoc>false</SharedDoc>
  <HLinks>
    <vt:vector size="18" baseType="variant">
      <vt:variant>
        <vt:i4>4587604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http://www.facebook.com/BusinessBulgaria</vt:lpwstr>
      </vt:variant>
      <vt:variant>
        <vt:lpwstr/>
      </vt:variant>
      <vt:variant>
        <vt:i4>2359421</vt:i4>
      </vt:variant>
      <vt:variant>
        <vt:i4>9</vt:i4>
      </vt:variant>
      <vt:variant>
        <vt:i4>0</vt:i4>
      </vt:variant>
      <vt:variant>
        <vt:i4>5</vt:i4>
      </vt:variant>
      <vt:variant>
        <vt:lpwstr>http://www.bia-bg.com/</vt:lpwstr>
      </vt:variant>
      <vt:variant>
        <vt:lpwstr/>
      </vt:variant>
      <vt:variant>
        <vt:i4>6619136</vt:i4>
      </vt:variant>
      <vt:variant>
        <vt:i4>6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Popdonchev</dc:creator>
  <cp:keywords/>
  <dc:description/>
  <cp:lastModifiedBy>Ани Алашка</cp:lastModifiedBy>
  <cp:revision>4</cp:revision>
  <cp:lastPrinted>2015-11-18T17:21:00Z</cp:lastPrinted>
  <dcterms:created xsi:type="dcterms:W3CDTF">2015-11-18T17:21:00Z</dcterms:created>
  <dcterms:modified xsi:type="dcterms:W3CDTF">2015-11-18T18:06:00Z</dcterms:modified>
</cp:coreProperties>
</file>