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1.xml" ContentType="application/vnd.openxmlformats-officedocument.themeOverrid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p" w:displacedByCustomXml="next"/>
    <w:bookmarkEnd w:id="0" w:displacedByCustomXml="next"/>
    <w:sdt>
      <w:sdtPr>
        <w:rPr>
          <w:rFonts w:ascii="Arial Narrow" w:hAnsi="Arial Narrow"/>
          <w:sz w:val="24"/>
          <w:szCs w:val="24"/>
        </w:rPr>
        <w:id w:val="5097907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E768D5" w:rsidRPr="001D3374" w:rsidRDefault="00E768D5" w:rsidP="00290BD7">
          <w:pPr>
            <w:jc w:val="center"/>
            <w:rPr>
              <w:rFonts w:ascii="Arial Narrow" w:hAnsi="Arial Narrow"/>
              <w:b/>
              <w:sz w:val="24"/>
              <w:szCs w:val="24"/>
            </w:rPr>
          </w:pPr>
          <w:r w:rsidRPr="00E768D5">
            <w:rPr>
              <w:rFonts w:ascii="Arial Narrow" w:hAnsi="Arial Narrow"/>
              <w:b/>
              <w:sz w:val="24"/>
              <w:szCs w:val="24"/>
            </w:rPr>
            <w:t xml:space="preserve">Българската </w:t>
          </w:r>
          <w:proofErr w:type="spellStart"/>
          <w:r w:rsidRPr="00E768D5">
            <w:rPr>
              <w:rFonts w:ascii="Arial Narrow" w:hAnsi="Arial Narrow"/>
              <w:b/>
              <w:sz w:val="24"/>
              <w:szCs w:val="24"/>
            </w:rPr>
            <w:t>д</w:t>
          </w:r>
          <w:r w:rsidR="00290BD7" w:rsidRPr="00E768D5">
            <w:rPr>
              <w:rFonts w:ascii="Arial Narrow" w:hAnsi="Arial Narrow"/>
              <w:b/>
              <w:sz w:val="24"/>
              <w:szCs w:val="24"/>
            </w:rPr>
            <w:t>обивна</w:t>
          </w:r>
          <w:proofErr w:type="spellEnd"/>
          <w:r w:rsidRPr="00E768D5">
            <w:rPr>
              <w:rFonts w:ascii="Arial Narrow" w:hAnsi="Arial Narrow"/>
              <w:b/>
              <w:sz w:val="24"/>
              <w:szCs w:val="24"/>
            </w:rPr>
            <w:t xml:space="preserve"> </w:t>
          </w:r>
          <w:r w:rsidR="00290BD7" w:rsidRPr="00E768D5">
            <w:rPr>
              <w:rFonts w:ascii="Arial Narrow" w:hAnsi="Arial Narrow"/>
              <w:b/>
              <w:sz w:val="24"/>
              <w:szCs w:val="24"/>
            </w:rPr>
            <w:t>индустрия</w:t>
          </w:r>
          <w:r w:rsidR="00F5318A" w:rsidRPr="00E768D5">
            <w:rPr>
              <w:rFonts w:ascii="Arial Narrow" w:hAnsi="Arial Narrow"/>
              <w:b/>
              <w:sz w:val="24"/>
              <w:szCs w:val="24"/>
            </w:rPr>
            <w:t xml:space="preserve"> </w:t>
          </w:r>
          <w:r w:rsidRPr="00E768D5">
            <w:rPr>
              <w:rFonts w:ascii="Arial Narrow" w:hAnsi="Arial Narrow"/>
              <w:b/>
              <w:sz w:val="24"/>
              <w:szCs w:val="24"/>
            </w:rPr>
            <w:t xml:space="preserve">– с </w:t>
          </w:r>
          <w:r w:rsidR="00290BD7" w:rsidRPr="001D3374">
            <w:rPr>
              <w:rFonts w:ascii="Arial Narrow" w:hAnsi="Arial Narrow"/>
              <w:b/>
              <w:sz w:val="24"/>
              <w:szCs w:val="24"/>
            </w:rPr>
            <w:t>умерен оптими</w:t>
          </w:r>
          <w:r w:rsidR="00F5318A">
            <w:rPr>
              <w:rFonts w:ascii="Arial Narrow" w:hAnsi="Arial Narrow"/>
              <w:b/>
              <w:sz w:val="24"/>
              <w:szCs w:val="24"/>
            </w:rPr>
            <w:t xml:space="preserve">зъм за своето устойчиво развитие през 2016 г. </w:t>
          </w:r>
        </w:p>
        <w:p w:rsidR="00290BD7" w:rsidRPr="001D3374" w:rsidRDefault="00290BD7" w:rsidP="00290BD7">
          <w:pPr>
            <w:pStyle w:val="ListParagraph"/>
            <w:numPr>
              <w:ilvl w:val="0"/>
              <w:numId w:val="28"/>
            </w:numPr>
            <w:spacing w:after="0" w:line="240" w:lineRule="auto"/>
            <w:ind w:left="851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>3/4 от членовете на БМГК са умерени оптимисти за развитието на бранша и на соб</w:t>
          </w:r>
          <w:r w:rsidR="007C1E45">
            <w:rPr>
              <w:rFonts w:ascii="Arial Narrow" w:hAnsi="Arial Narrow"/>
              <w:sz w:val="24"/>
              <w:szCs w:val="24"/>
            </w:rPr>
            <w:t>ствените си компании за 2016 г.;</w:t>
          </w:r>
        </w:p>
        <w:p w:rsidR="00F44B7F" w:rsidRDefault="00F44B7F" w:rsidP="00290BD7">
          <w:pPr>
            <w:pStyle w:val="ListParagraph"/>
            <w:numPr>
              <w:ilvl w:val="0"/>
              <w:numId w:val="28"/>
            </w:numPr>
            <w:spacing w:after="0" w:line="240" w:lineRule="auto"/>
            <w:ind w:left="851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 xml:space="preserve">Намалява външният </w:t>
          </w:r>
          <w:r w:rsidR="007C1E45">
            <w:rPr>
              <w:rFonts w:ascii="Arial Narrow" w:hAnsi="Arial Narrow"/>
              <w:sz w:val="24"/>
              <w:szCs w:val="24"/>
            </w:rPr>
            <w:t>корупционен натиск върху бранша;</w:t>
          </w:r>
        </w:p>
        <w:p w:rsidR="00344CF5" w:rsidRPr="001D3374" w:rsidRDefault="00344CF5" w:rsidP="00290BD7">
          <w:pPr>
            <w:pStyle w:val="ListParagraph"/>
            <w:numPr>
              <w:ilvl w:val="0"/>
              <w:numId w:val="28"/>
            </w:numPr>
            <w:spacing w:after="0" w:line="240" w:lineRule="auto"/>
            <w:ind w:left="851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 xml:space="preserve">През 2015 г. не са се изпълнили очакванията на </w:t>
          </w:r>
          <w:proofErr w:type="spellStart"/>
          <w:r w:rsidR="007C1E45">
            <w:rPr>
              <w:rFonts w:ascii="Arial Narrow" w:hAnsi="Arial Narrow"/>
              <w:sz w:val="24"/>
              <w:szCs w:val="24"/>
            </w:rPr>
            <w:t>добивните</w:t>
          </w:r>
          <w:proofErr w:type="spellEnd"/>
          <w:r w:rsidR="007C1E45">
            <w:rPr>
              <w:rFonts w:ascii="Arial Narrow" w:hAnsi="Arial Narrow"/>
              <w:sz w:val="24"/>
              <w:szCs w:val="24"/>
            </w:rPr>
            <w:t xml:space="preserve"> компании</w:t>
          </w:r>
          <w:r>
            <w:rPr>
              <w:rFonts w:ascii="Arial Narrow" w:hAnsi="Arial Narrow"/>
              <w:sz w:val="24"/>
              <w:szCs w:val="24"/>
            </w:rPr>
            <w:t>.</w:t>
          </w:r>
        </w:p>
        <w:p w:rsidR="00290BD7" w:rsidRPr="001D3374" w:rsidRDefault="00290BD7" w:rsidP="00290BD7">
          <w:pPr>
            <w:pStyle w:val="ListParagraph"/>
            <w:ind w:left="851"/>
            <w:jc w:val="both"/>
            <w:rPr>
              <w:rFonts w:ascii="Arial Narrow" w:hAnsi="Arial Narrow"/>
              <w:sz w:val="24"/>
              <w:szCs w:val="24"/>
            </w:rPr>
          </w:pPr>
        </w:p>
        <w:p w:rsidR="00F44B7F" w:rsidRDefault="00290BD7" w:rsidP="00E70D0B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b/>
              <w:sz w:val="24"/>
              <w:szCs w:val="24"/>
            </w:rPr>
            <w:t>София – ХХ.0</w:t>
          </w:r>
          <w:r w:rsidR="007C1E45">
            <w:rPr>
              <w:rFonts w:ascii="Arial Narrow" w:hAnsi="Arial Narrow"/>
              <w:b/>
              <w:sz w:val="24"/>
              <w:szCs w:val="24"/>
            </w:rPr>
            <w:t>6</w:t>
          </w:r>
          <w:r w:rsidRPr="001D3374">
            <w:rPr>
              <w:rFonts w:ascii="Arial Narrow" w:hAnsi="Arial Narrow"/>
              <w:b/>
              <w:sz w:val="24"/>
              <w:szCs w:val="24"/>
            </w:rPr>
            <w:t>.2016 г.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Българските </w:t>
          </w:r>
          <w:proofErr w:type="spellStart"/>
          <w:r w:rsidRPr="001D3374">
            <w:rPr>
              <w:rFonts w:ascii="Arial Narrow" w:hAnsi="Arial Narrow"/>
              <w:sz w:val="24"/>
              <w:szCs w:val="24"/>
            </w:rPr>
            <w:t>добивни</w:t>
          </w:r>
          <w:proofErr w:type="spellEnd"/>
          <w:r w:rsidRPr="001D3374">
            <w:rPr>
              <w:rFonts w:ascii="Arial Narrow" w:hAnsi="Arial Narrow"/>
              <w:sz w:val="24"/>
              <w:szCs w:val="24"/>
            </w:rPr>
            <w:t xml:space="preserve"> компании запазват своята увереност в устойчивото развитие на бранша през настоящата година. Три четвърти </w:t>
          </w:r>
          <w:r w:rsidR="00347139">
            <w:rPr>
              <w:rFonts w:ascii="Arial Narrow" w:hAnsi="Arial Narrow"/>
              <w:sz w:val="24"/>
              <w:szCs w:val="24"/>
            </w:rPr>
            <w:t xml:space="preserve">от тях </w:t>
          </w:r>
          <w:r w:rsidRPr="001D3374">
            <w:rPr>
              <w:rFonts w:ascii="Arial Narrow" w:hAnsi="Arial Narrow"/>
              <w:sz w:val="24"/>
              <w:szCs w:val="24"/>
            </w:rPr>
            <w:t>са умерени оптимисти за бизнес-климата в страната, в т.ч.</w:t>
          </w:r>
          <w:r w:rsidR="00F44B7F">
            <w:rPr>
              <w:rFonts w:ascii="Arial Narrow" w:hAnsi="Arial Narrow"/>
              <w:sz w:val="24"/>
              <w:szCs w:val="24"/>
            </w:rPr>
            <w:t xml:space="preserve"> и в бранша, за 2016 г. </w:t>
          </w:r>
          <w:r w:rsidR="00C10A15">
            <w:rPr>
              <w:rFonts w:ascii="Arial Narrow" w:hAnsi="Arial Narrow"/>
              <w:sz w:val="24"/>
              <w:szCs w:val="24"/>
            </w:rPr>
            <w:t xml:space="preserve">Тази </w:t>
          </w:r>
          <w:r w:rsidR="00347139">
            <w:rPr>
              <w:rFonts w:ascii="Arial Narrow" w:hAnsi="Arial Narrow"/>
              <w:sz w:val="24"/>
              <w:szCs w:val="24"/>
            </w:rPr>
            <w:t xml:space="preserve">позиция </w:t>
          </w:r>
          <w:r w:rsidR="00C10A15">
            <w:rPr>
              <w:rFonts w:ascii="Arial Narrow" w:hAnsi="Arial Narrow"/>
              <w:sz w:val="24"/>
              <w:szCs w:val="24"/>
            </w:rPr>
            <w:t>се подсилва и от т</w:t>
          </w:r>
          <w:r w:rsidR="00F44B7F">
            <w:rPr>
              <w:rFonts w:ascii="Arial Narrow" w:hAnsi="Arial Narrow"/>
              <w:sz w:val="24"/>
              <w:szCs w:val="24"/>
            </w:rPr>
            <w:t>енденцията за намал</w:t>
          </w:r>
          <w:r w:rsidR="00C10A15">
            <w:rPr>
              <w:rFonts w:ascii="Arial Narrow" w:hAnsi="Arial Narrow"/>
              <w:sz w:val="24"/>
              <w:szCs w:val="24"/>
            </w:rPr>
            <w:t xml:space="preserve">ение </w:t>
          </w:r>
          <w:r w:rsidR="00CE3FF0">
            <w:rPr>
              <w:rFonts w:ascii="Arial Narrow" w:hAnsi="Arial Narrow"/>
              <w:sz w:val="24"/>
              <w:szCs w:val="24"/>
            </w:rPr>
            <w:t xml:space="preserve">на </w:t>
          </w:r>
          <w:r w:rsidR="00F44B7F">
            <w:rPr>
              <w:rFonts w:ascii="Arial Narrow" w:hAnsi="Arial Narrow"/>
              <w:sz w:val="24"/>
              <w:szCs w:val="24"/>
            </w:rPr>
            <w:t>корупционн</w:t>
          </w:r>
          <w:r w:rsidR="00C10A15">
            <w:rPr>
              <w:rFonts w:ascii="Arial Narrow" w:hAnsi="Arial Narrow"/>
              <w:sz w:val="24"/>
              <w:szCs w:val="24"/>
            </w:rPr>
            <w:t>ия</w:t>
          </w:r>
          <w:r w:rsidR="00F44B7F">
            <w:rPr>
              <w:rFonts w:ascii="Arial Narrow" w:hAnsi="Arial Narrow"/>
              <w:sz w:val="24"/>
              <w:szCs w:val="24"/>
            </w:rPr>
            <w:t xml:space="preserve"> натиск върху </w:t>
          </w:r>
          <w:r w:rsidR="00C10A15">
            <w:rPr>
              <w:rFonts w:ascii="Arial Narrow" w:hAnsi="Arial Narrow"/>
              <w:sz w:val="24"/>
              <w:szCs w:val="24"/>
            </w:rPr>
            <w:t>минерално-суровинната индустрия</w:t>
          </w:r>
          <w:r w:rsidR="00F44B7F">
            <w:rPr>
              <w:rFonts w:ascii="Arial Narrow" w:hAnsi="Arial Narrow"/>
              <w:sz w:val="24"/>
              <w:szCs w:val="24"/>
            </w:rPr>
            <w:t>.</w:t>
          </w:r>
        </w:p>
        <w:p w:rsidR="00382039" w:rsidRDefault="00382039" w:rsidP="00E70D0B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Това сочат данните от вътрешно проучване сред членовете на Българска минно-геоложка камара, проведено в рамките на Общото й събрание на 14.04.2016 г.</w:t>
          </w:r>
        </w:p>
        <w:p w:rsidR="006E422C" w:rsidRPr="001D3374" w:rsidRDefault="00F44B7F" w:rsidP="00E70D0B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 xml:space="preserve">Прогнозните планове за 2016 г. на компаниите от минерално-суровинната индустрия сочат, че </w:t>
          </w:r>
          <w:r w:rsidR="00347139">
            <w:rPr>
              <w:rFonts w:ascii="Arial Narrow" w:hAnsi="Arial Narrow"/>
              <w:sz w:val="24"/>
              <w:szCs w:val="24"/>
            </w:rPr>
            <w:t xml:space="preserve">общо </w:t>
          </w:r>
          <w:r w:rsidR="00290BD7" w:rsidRPr="00347139">
            <w:rPr>
              <w:rFonts w:ascii="Arial Narrow" w:hAnsi="Arial Narrow"/>
              <w:b/>
              <w:sz w:val="24"/>
              <w:szCs w:val="24"/>
            </w:rPr>
            <w:t xml:space="preserve">43% </w:t>
          </w:r>
          <w:r w:rsidR="00347139" w:rsidRPr="00347139">
            <w:rPr>
              <w:rFonts w:ascii="Arial Narrow" w:hAnsi="Arial Narrow"/>
              <w:b/>
              <w:sz w:val="24"/>
              <w:szCs w:val="24"/>
            </w:rPr>
            <w:t>планират мерки за растеж или за запазване на нивата от 2015 г.</w:t>
          </w:r>
          <w:r w:rsidR="00347139">
            <w:rPr>
              <w:rFonts w:ascii="Arial Narrow" w:hAnsi="Arial Narrow"/>
              <w:sz w:val="24"/>
              <w:szCs w:val="24"/>
            </w:rPr>
            <w:t xml:space="preserve"> В това число се включват членове на БМГК, които или </w:t>
          </w:r>
          <w:r w:rsidR="00C10A15">
            <w:rPr>
              <w:rFonts w:ascii="Arial Narrow" w:hAnsi="Arial Narrow"/>
              <w:sz w:val="24"/>
              <w:szCs w:val="24"/>
            </w:rPr>
            <w:t xml:space="preserve">планират увеличаване на </w:t>
          </w:r>
          <w:r w:rsidR="00290BD7" w:rsidRPr="001D3374">
            <w:rPr>
              <w:rFonts w:ascii="Arial Narrow" w:hAnsi="Arial Narrow"/>
              <w:sz w:val="24"/>
              <w:szCs w:val="24"/>
            </w:rPr>
            <w:t>производство</w:t>
          </w:r>
          <w:r w:rsidR="00347139">
            <w:rPr>
              <w:rFonts w:ascii="Arial Narrow" w:hAnsi="Arial Narrow"/>
              <w:sz w:val="24"/>
              <w:szCs w:val="24"/>
            </w:rPr>
            <w:t>то</w:t>
          </w:r>
          <w:r w:rsidR="00C10A15">
            <w:rPr>
              <w:rFonts w:ascii="Arial Narrow" w:hAnsi="Arial Narrow"/>
              <w:sz w:val="24"/>
              <w:szCs w:val="24"/>
            </w:rPr>
            <w:t>,</w:t>
          </w:r>
          <w:r>
            <w:rPr>
              <w:rFonts w:ascii="Arial Narrow" w:hAnsi="Arial Narrow"/>
              <w:sz w:val="24"/>
              <w:szCs w:val="24"/>
            </w:rPr>
            <w:t xml:space="preserve"> </w:t>
          </w:r>
          <w:r w:rsidR="00F5077D">
            <w:rPr>
              <w:rFonts w:ascii="Arial Narrow" w:hAnsi="Arial Narrow"/>
              <w:sz w:val="24"/>
              <w:szCs w:val="24"/>
            </w:rPr>
            <w:t>или запаз</w:t>
          </w:r>
          <w:r w:rsidR="00C10A15">
            <w:rPr>
              <w:rFonts w:ascii="Arial Narrow" w:hAnsi="Arial Narrow"/>
              <w:sz w:val="24"/>
              <w:szCs w:val="24"/>
            </w:rPr>
            <w:t>ване</w:t>
          </w:r>
          <w:r w:rsidR="00347139">
            <w:rPr>
              <w:rFonts w:ascii="Arial Narrow" w:hAnsi="Arial Narrow"/>
              <w:sz w:val="24"/>
              <w:szCs w:val="24"/>
            </w:rPr>
            <w:t>то му</w:t>
          </w:r>
          <w:r w:rsidR="00C10A15">
            <w:rPr>
              <w:rFonts w:ascii="Arial Narrow" w:hAnsi="Arial Narrow"/>
              <w:sz w:val="24"/>
              <w:szCs w:val="24"/>
            </w:rPr>
            <w:t xml:space="preserve"> на </w:t>
          </w:r>
          <w:r>
            <w:rPr>
              <w:rFonts w:ascii="Arial Narrow" w:hAnsi="Arial Narrow"/>
              <w:sz w:val="24"/>
              <w:szCs w:val="24"/>
            </w:rPr>
            <w:t xml:space="preserve">нивата от 2015 г. </w:t>
          </w:r>
          <w:r w:rsidR="00F5077D">
            <w:rPr>
              <w:rFonts w:ascii="Arial Narrow" w:hAnsi="Arial Narrow"/>
              <w:sz w:val="24"/>
              <w:szCs w:val="24"/>
            </w:rPr>
            <w:t xml:space="preserve">, </w:t>
          </w:r>
          <w:r w:rsidR="00290BD7" w:rsidRPr="001D3374">
            <w:rPr>
              <w:rFonts w:ascii="Arial Narrow" w:hAnsi="Arial Narrow"/>
              <w:sz w:val="24"/>
              <w:szCs w:val="24"/>
            </w:rPr>
            <w:t>или увелича</w:t>
          </w:r>
          <w:r w:rsidR="00347139">
            <w:rPr>
              <w:rFonts w:ascii="Arial Narrow" w:hAnsi="Arial Narrow"/>
              <w:sz w:val="24"/>
              <w:szCs w:val="24"/>
            </w:rPr>
            <w:t xml:space="preserve">ване на </w:t>
          </w:r>
          <w:r w:rsidR="00290BD7" w:rsidRPr="001D3374">
            <w:rPr>
              <w:rFonts w:ascii="Arial Narrow" w:hAnsi="Arial Narrow"/>
              <w:sz w:val="24"/>
              <w:szCs w:val="24"/>
            </w:rPr>
            <w:t>инвестиционната си програма.</w:t>
          </w:r>
          <w:r w:rsidR="00C10A15">
            <w:rPr>
              <w:rFonts w:ascii="Arial Narrow" w:hAnsi="Arial Narrow"/>
              <w:sz w:val="24"/>
              <w:szCs w:val="24"/>
            </w:rPr>
            <w:t xml:space="preserve"> Сумарният резултат говори за стремеж за укрепване на пазарния им дял и за отговорно управление на компаниите.</w:t>
          </w:r>
        </w:p>
        <w:p w:rsidR="00433818" w:rsidRPr="001D3374" w:rsidRDefault="00433818" w:rsidP="00E70D0B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>В допълнение 14% от отговорилите предвиждат увеличение на персонала в резултат на очакванията им за нарастване на обемите работа. Картината се допълва от 16% от компаниите, които заявяват, че търсят нови канали за продажба.</w:t>
          </w:r>
          <w:r w:rsidR="00CE3FF0">
            <w:rPr>
              <w:rStyle w:val="FootnoteReference"/>
              <w:rFonts w:ascii="Arial Narrow" w:hAnsi="Arial Narrow"/>
              <w:sz w:val="24"/>
              <w:szCs w:val="24"/>
            </w:rPr>
            <w:footnoteReference w:id="1"/>
          </w:r>
        </w:p>
        <w:p w:rsidR="00CE3FF0" w:rsidRDefault="00C10A15" w:rsidP="00CE3FF0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При отговора на въпроса за намеренията им за 2016 г., 14% отговарят, че пл</w:t>
          </w:r>
          <w:r w:rsidR="00CE3FF0">
            <w:rPr>
              <w:rFonts w:ascii="Arial Narrow" w:hAnsi="Arial Narrow"/>
              <w:sz w:val="24"/>
              <w:szCs w:val="24"/>
            </w:rPr>
            <w:t>анират увеличение на персонала</w:t>
          </w:r>
          <w:r w:rsidR="00347139">
            <w:rPr>
              <w:rFonts w:ascii="Arial Narrow" w:hAnsi="Arial Narrow"/>
              <w:sz w:val="24"/>
              <w:szCs w:val="24"/>
            </w:rPr>
            <w:t xml:space="preserve">. Това е пореден признак на </w:t>
          </w:r>
          <w:r w:rsidR="00CE3FF0">
            <w:rPr>
              <w:rFonts w:ascii="Arial Narrow" w:hAnsi="Arial Narrow"/>
              <w:sz w:val="24"/>
              <w:szCs w:val="24"/>
            </w:rPr>
            <w:t>оптими</w:t>
          </w:r>
          <w:r w:rsidR="00347139">
            <w:rPr>
              <w:rFonts w:ascii="Arial Narrow" w:hAnsi="Arial Narrow"/>
              <w:sz w:val="24"/>
              <w:szCs w:val="24"/>
            </w:rPr>
            <w:t xml:space="preserve">зъм в </w:t>
          </w:r>
          <w:r w:rsidR="00CE3FF0">
            <w:rPr>
              <w:rFonts w:ascii="Arial Narrow" w:hAnsi="Arial Narrow"/>
              <w:sz w:val="24"/>
              <w:szCs w:val="24"/>
            </w:rPr>
            <w:t>наглас</w:t>
          </w:r>
          <w:r w:rsidR="00347139">
            <w:rPr>
              <w:rFonts w:ascii="Arial Narrow" w:hAnsi="Arial Narrow"/>
              <w:sz w:val="24"/>
              <w:szCs w:val="24"/>
            </w:rPr>
            <w:t xml:space="preserve">ите, както и за готови </w:t>
          </w:r>
          <w:r w:rsidR="00CE3FF0">
            <w:rPr>
              <w:rFonts w:ascii="Arial Narrow" w:hAnsi="Arial Narrow"/>
              <w:sz w:val="24"/>
              <w:szCs w:val="24"/>
            </w:rPr>
            <w:t>реални планове за увеличаване обема работа в компаниите.</w:t>
          </w:r>
        </w:p>
        <w:p w:rsidR="00CE3FF0" w:rsidRPr="001D3374" w:rsidRDefault="00CE3FF0" w:rsidP="00CE3FF0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 xml:space="preserve">„Сред отличаващите специфики на нашия бранш е </w:t>
          </w:r>
          <w:r>
            <w:rPr>
              <w:rFonts w:ascii="Arial Narrow" w:hAnsi="Arial Narrow"/>
              <w:sz w:val="24"/>
              <w:szCs w:val="24"/>
            </w:rPr>
            <w:t xml:space="preserve">отличното </w:t>
          </w:r>
          <w:r w:rsidRPr="001D3374">
            <w:rPr>
              <w:rFonts w:ascii="Arial Narrow" w:hAnsi="Arial Narrow"/>
              <w:sz w:val="24"/>
              <w:szCs w:val="24"/>
            </w:rPr>
            <w:t>планиране на дейност</w:t>
          </w:r>
          <w:r>
            <w:rPr>
              <w:rFonts w:ascii="Arial Narrow" w:hAnsi="Arial Narrow"/>
              <w:sz w:val="24"/>
              <w:szCs w:val="24"/>
            </w:rPr>
            <w:t xml:space="preserve">ите </w:t>
          </w:r>
          <w:r w:rsidRPr="001D3374">
            <w:rPr>
              <w:rFonts w:ascii="Arial Narrow" w:hAnsi="Arial Narrow"/>
              <w:sz w:val="24"/>
              <w:szCs w:val="24"/>
            </w:rPr>
            <w:t>и оттук – високата степен на устойчивост на промените</w:t>
          </w:r>
          <w:r>
            <w:rPr>
              <w:rFonts w:ascii="Arial Narrow" w:hAnsi="Arial Narrow"/>
              <w:sz w:val="24"/>
              <w:szCs w:val="24"/>
            </w:rPr>
            <w:t xml:space="preserve"> на нашите компании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. Цикличността в цените на суровините е </w:t>
          </w:r>
          <w:r>
            <w:rPr>
              <w:rFonts w:ascii="Arial Narrow" w:hAnsi="Arial Narrow"/>
              <w:sz w:val="24"/>
              <w:szCs w:val="24"/>
            </w:rPr>
            <w:t>външ</w:t>
          </w:r>
          <w:r w:rsidR="00347139">
            <w:rPr>
              <w:rFonts w:ascii="Arial Narrow" w:hAnsi="Arial Narrow"/>
              <w:sz w:val="24"/>
              <w:szCs w:val="24"/>
            </w:rPr>
            <w:t>е</w:t>
          </w:r>
          <w:r>
            <w:rPr>
              <w:rFonts w:ascii="Arial Narrow" w:hAnsi="Arial Narrow"/>
              <w:sz w:val="24"/>
              <w:szCs w:val="24"/>
            </w:rPr>
            <w:t>н</w:t>
          </w:r>
          <w:r w:rsidR="00347139">
            <w:rPr>
              <w:rFonts w:ascii="Arial Narrow" w:hAnsi="Arial Narrow"/>
              <w:sz w:val="24"/>
              <w:szCs w:val="24"/>
            </w:rPr>
            <w:t xml:space="preserve"> фактор, с който ние се съобразяване. Тя </w:t>
          </w:r>
          <w:r w:rsidRPr="001D3374">
            <w:rPr>
              <w:rFonts w:ascii="Arial Narrow" w:hAnsi="Arial Narrow"/>
              <w:sz w:val="24"/>
              <w:szCs w:val="24"/>
            </w:rPr>
            <w:t>влияе изключително много на нашите бизнес планове</w:t>
          </w:r>
          <w:r>
            <w:rPr>
              <w:rFonts w:ascii="Arial Narrow" w:hAnsi="Arial Narrow"/>
              <w:sz w:val="24"/>
              <w:szCs w:val="24"/>
            </w:rPr>
            <w:t>. Комбинацията от тези специфики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– </w:t>
          </w:r>
          <w:r w:rsidRPr="002315D5">
            <w:rPr>
              <w:rFonts w:ascii="Arial Narrow" w:hAnsi="Arial Narrow"/>
              <w:b/>
              <w:sz w:val="24"/>
              <w:szCs w:val="24"/>
            </w:rPr>
            <w:t>нестабилни борсови цени, планиране на високо ниво и „търпение“ спрямо промените в бизнес средата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– </w:t>
          </w:r>
          <w:r w:rsidR="00347139">
            <w:rPr>
              <w:rFonts w:ascii="Arial Narrow" w:hAnsi="Arial Narrow"/>
              <w:sz w:val="24"/>
              <w:szCs w:val="24"/>
            </w:rPr>
            <w:t xml:space="preserve">смятам, че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предопределят и нагласите в бранша. – каза </w:t>
          </w:r>
          <w:r w:rsidRPr="001D3374">
            <w:rPr>
              <w:rFonts w:ascii="Arial Narrow" w:hAnsi="Arial Narrow"/>
              <w:b/>
              <w:sz w:val="24"/>
              <w:szCs w:val="24"/>
            </w:rPr>
            <w:t xml:space="preserve">проф. д-р Лъчезар </w:t>
          </w:r>
          <w:proofErr w:type="spellStart"/>
          <w:r w:rsidRPr="001D3374">
            <w:rPr>
              <w:rFonts w:ascii="Arial Narrow" w:hAnsi="Arial Narrow"/>
              <w:b/>
              <w:sz w:val="24"/>
              <w:szCs w:val="24"/>
            </w:rPr>
            <w:t>Цоцорков</w:t>
          </w:r>
          <w:proofErr w:type="spellEnd"/>
          <w:r w:rsidRPr="001D3374">
            <w:rPr>
              <w:rFonts w:ascii="Arial Narrow" w:hAnsi="Arial Narrow"/>
              <w:b/>
              <w:sz w:val="24"/>
              <w:szCs w:val="24"/>
            </w:rPr>
            <w:t>,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председател на УС и на БМГК. „Очакванията на нашите експерти и колеги са базирани на данни и прогнози, които </w:t>
          </w:r>
          <w:r>
            <w:rPr>
              <w:rFonts w:ascii="Arial Narrow" w:hAnsi="Arial Narrow"/>
              <w:sz w:val="24"/>
              <w:szCs w:val="24"/>
            </w:rPr>
            <w:t>сочат</w:t>
          </w:r>
          <w:r w:rsidRPr="001D3374">
            <w:rPr>
              <w:rFonts w:ascii="Arial Narrow" w:hAnsi="Arial Narrow"/>
              <w:sz w:val="24"/>
              <w:szCs w:val="24"/>
            </w:rPr>
            <w:t>, че изходът от кризата с цените на суровинит</w:t>
          </w:r>
          <w:r>
            <w:rPr>
              <w:rFonts w:ascii="Arial Narrow" w:hAnsi="Arial Narrow"/>
              <w:sz w:val="24"/>
              <w:szCs w:val="24"/>
            </w:rPr>
            <w:t>е, макар да не е близо, то - предстои</w:t>
          </w:r>
          <w:r w:rsidRPr="001D3374">
            <w:rPr>
              <w:rFonts w:ascii="Arial Narrow" w:hAnsi="Arial Narrow"/>
              <w:sz w:val="24"/>
              <w:szCs w:val="24"/>
            </w:rPr>
            <w:t>. Според тях, вече сме извървели по-дългия път и сега се очаква запазване на цените на тези стабилни, макар и ниски нива.“</w:t>
          </w:r>
        </w:p>
        <w:p w:rsidR="00C10A15" w:rsidRDefault="00C10A15" w:rsidP="00E70D0B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 xml:space="preserve">Умереният оптимизъм в бранша се допълва от </w:t>
          </w:r>
          <w:r w:rsidR="00CE3FF0">
            <w:rPr>
              <w:rFonts w:ascii="Arial Narrow" w:hAnsi="Arial Narrow"/>
              <w:sz w:val="24"/>
              <w:szCs w:val="24"/>
            </w:rPr>
            <w:t xml:space="preserve">подобряващите се показали за усещането на </w:t>
          </w:r>
          <w:r w:rsidR="00CE3FF0" w:rsidRPr="00347139">
            <w:rPr>
              <w:rFonts w:ascii="Arial Narrow" w:hAnsi="Arial Narrow"/>
              <w:b/>
              <w:sz w:val="24"/>
              <w:szCs w:val="24"/>
            </w:rPr>
            <w:t>корупционен натиск</w:t>
          </w:r>
          <w:r w:rsidR="00CE3FF0">
            <w:rPr>
              <w:rFonts w:ascii="Arial Narrow" w:hAnsi="Arial Narrow"/>
              <w:sz w:val="24"/>
              <w:szCs w:val="24"/>
            </w:rPr>
            <w:t>. Тенденцията за нейното намаляване започва още след втората анкета сред членовете на БМГК през 2009 г. и върви стремглаво надолу, достигайки до 13% през 2012 г. В следващите 2 години тя бележи ръст – отбелязан от 26% през 2014 г. За изминалата 2015 г. усещането за корупционен натиск е на ниво от 21% и дава основания за заключения, че се завръща към ниските нива.</w:t>
          </w:r>
          <w:r w:rsidR="00347139">
            <w:rPr>
              <w:rFonts w:ascii="Arial Narrow" w:hAnsi="Arial Narrow"/>
              <w:sz w:val="24"/>
              <w:szCs w:val="24"/>
            </w:rPr>
            <w:t xml:space="preserve"> Детайлният поглед върху рудодобивните компании само показва, че те усещат натиск единствено от неправителствения сектор.</w:t>
          </w:r>
        </w:p>
        <w:p w:rsidR="00433818" w:rsidRPr="00C6398D" w:rsidRDefault="00433818" w:rsidP="0042559A">
          <w:pPr>
            <w:rPr>
              <w:b/>
              <w:sz w:val="28"/>
              <w:szCs w:val="28"/>
            </w:rPr>
          </w:pPr>
          <w:r w:rsidRPr="00C6398D">
            <w:rPr>
              <w:b/>
              <w:sz w:val="28"/>
              <w:szCs w:val="28"/>
            </w:rPr>
            <w:lastRenderedPageBreak/>
            <w:t xml:space="preserve">Очаквания на </w:t>
          </w:r>
          <w:proofErr w:type="spellStart"/>
          <w:r w:rsidRPr="00C6398D">
            <w:rPr>
              <w:b/>
              <w:sz w:val="28"/>
              <w:szCs w:val="28"/>
            </w:rPr>
            <w:t>добивната</w:t>
          </w:r>
          <w:proofErr w:type="spellEnd"/>
          <w:r w:rsidRPr="00C6398D">
            <w:rPr>
              <w:b/>
              <w:sz w:val="28"/>
              <w:szCs w:val="28"/>
            </w:rPr>
            <w:t xml:space="preserve"> индустрия за 2016 г.</w:t>
          </w:r>
          <w:r w:rsidR="0042559A" w:rsidRPr="00C6398D">
            <w:rPr>
              <w:b/>
              <w:sz w:val="28"/>
              <w:szCs w:val="28"/>
            </w:rPr>
            <w:t xml:space="preserve"> Оценка на 2015 г. </w:t>
          </w:r>
          <w:r w:rsidRPr="00C6398D">
            <w:rPr>
              <w:b/>
              <w:sz w:val="28"/>
              <w:szCs w:val="28"/>
            </w:rPr>
            <w:t xml:space="preserve"> </w:t>
          </w:r>
          <w:r w:rsidR="0042559A" w:rsidRPr="00C6398D">
            <w:rPr>
              <w:b/>
              <w:sz w:val="28"/>
              <w:szCs w:val="28"/>
            </w:rPr>
            <w:t>/ Д</w:t>
          </w:r>
          <w:r w:rsidRPr="00C6398D">
            <w:rPr>
              <w:b/>
              <w:sz w:val="28"/>
              <w:szCs w:val="28"/>
            </w:rPr>
            <w:t>етайли</w:t>
          </w:r>
          <w:r w:rsidR="0042559A" w:rsidRPr="00C6398D">
            <w:rPr>
              <w:b/>
              <w:sz w:val="28"/>
              <w:szCs w:val="28"/>
            </w:rPr>
            <w:t xml:space="preserve"> и таблици</w:t>
          </w:r>
        </w:p>
        <w:sdt>
          <w:sdtPr>
            <w:id w:val="-1380397235"/>
            <w:docPartObj>
              <w:docPartGallery w:val="Table of Contents"/>
              <w:docPartUnique/>
            </w:docPartObj>
          </w:sdtPr>
          <w:sdtEndPr>
            <w:rPr>
              <w:rFonts w:ascii="Calibri" w:eastAsia="Calibri" w:hAnsi="Calibri" w:cs="Times New Roman"/>
              <w:b/>
              <w:bCs/>
              <w:noProof/>
              <w:color w:val="auto"/>
              <w:sz w:val="22"/>
              <w:szCs w:val="22"/>
              <w:lang w:val="bg-BG"/>
            </w:rPr>
          </w:sdtEndPr>
          <w:sdtContent>
            <w:p w:rsidR="0042559A" w:rsidRPr="0042559A" w:rsidRDefault="0042559A">
              <w:pPr>
                <w:pStyle w:val="TOCHeading"/>
                <w:rPr>
                  <w:lang w:val="bg-BG"/>
                </w:rPr>
              </w:pPr>
              <w:r>
                <w:rPr>
                  <w:lang w:val="bg-BG"/>
                </w:rPr>
                <w:t>Съдържание на приложенията</w:t>
              </w:r>
            </w:p>
            <w:bookmarkStart w:id="1" w:name="_GoBack"/>
            <w:bookmarkEnd w:id="1"/>
            <w:p w:rsidR="0028526C" w:rsidRDefault="0042559A">
              <w:pPr>
                <w:pStyle w:val="TOC1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453060441" w:history="1">
                <w:r w:rsidR="0028526C" w:rsidRPr="009E0A3C">
                  <w:rPr>
                    <w:rStyle w:val="Hyperlink"/>
                    <w:noProof/>
                  </w:rPr>
                  <w:t>Бизнес климат 2016</w:t>
                </w:r>
                <w:r w:rsidR="0028526C">
                  <w:rPr>
                    <w:noProof/>
                    <w:webHidden/>
                  </w:rPr>
                  <w:tab/>
                </w:r>
                <w:r w:rsidR="0028526C">
                  <w:rPr>
                    <w:noProof/>
                    <w:webHidden/>
                  </w:rPr>
                  <w:fldChar w:fldCharType="begin"/>
                </w:r>
                <w:r w:rsidR="0028526C">
                  <w:rPr>
                    <w:noProof/>
                    <w:webHidden/>
                  </w:rPr>
                  <w:instrText xml:space="preserve"> PAGEREF _Toc453060441 \h </w:instrText>
                </w:r>
                <w:r w:rsidR="0028526C">
                  <w:rPr>
                    <w:noProof/>
                    <w:webHidden/>
                  </w:rPr>
                </w:r>
                <w:r w:rsidR="0028526C">
                  <w:rPr>
                    <w:noProof/>
                    <w:webHidden/>
                  </w:rPr>
                  <w:fldChar w:fldCharType="separate"/>
                </w:r>
                <w:r w:rsidR="0028526C">
                  <w:rPr>
                    <w:noProof/>
                    <w:webHidden/>
                  </w:rPr>
                  <w:t>1</w:t>
                </w:r>
                <w:r w:rsidR="0028526C"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1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2" w:history="1">
                <w:r w:rsidRPr="009E0A3C">
                  <w:rPr>
                    <w:rStyle w:val="Hyperlink"/>
                    <w:noProof/>
                  </w:rPr>
                  <w:t>Производство през 2016 г.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1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3" w:history="1">
                <w:r w:rsidRPr="009E0A3C">
                  <w:rPr>
                    <w:rStyle w:val="Hyperlink"/>
                    <w:noProof/>
                  </w:rPr>
                  <w:t>Инвестиции през 2016 г.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1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4" w:history="1">
                <w:r w:rsidRPr="009E0A3C">
                  <w:rPr>
                    <w:rStyle w:val="Hyperlink"/>
                    <w:noProof/>
                  </w:rPr>
                  <w:t>Планирани инвестиции – сравнение по години (2014 - 2016)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1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5" w:history="1">
                <w:r w:rsidRPr="009E0A3C">
                  <w:rPr>
                    <w:rStyle w:val="Hyperlink"/>
                    <w:noProof/>
                  </w:rPr>
                  <w:t>БИЗНЕС КЛИМАТ 2015 - оценка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6" w:history="1">
                <w:r w:rsidRPr="009E0A3C">
                  <w:rPr>
                    <w:rStyle w:val="Hyperlink"/>
                    <w:noProof/>
                  </w:rPr>
                  <w:t>Обща картина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7" w:history="1">
                <w:r w:rsidRPr="009E0A3C">
                  <w:rPr>
                    <w:rStyle w:val="Hyperlink"/>
                    <w:noProof/>
                  </w:rPr>
                  <w:t>Производство и персонал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8" w:history="1">
                <w:r w:rsidRPr="009E0A3C">
                  <w:rPr>
                    <w:rStyle w:val="Hyperlink"/>
                    <w:noProof/>
                  </w:rPr>
                  <w:t>Структура на инвестициите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49" w:history="1">
                <w:r w:rsidRPr="009E0A3C">
                  <w:rPr>
                    <w:rStyle w:val="Hyperlink"/>
                    <w:noProof/>
                  </w:rPr>
                  <w:t>Проблемни зони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50" w:history="1">
                <w:r w:rsidRPr="009E0A3C">
                  <w:rPr>
                    <w:rStyle w:val="Hyperlink"/>
                    <w:noProof/>
                  </w:rPr>
                  <w:t>Корупция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51" w:history="1">
                <w:r w:rsidRPr="009E0A3C">
                  <w:rPr>
                    <w:rStyle w:val="Hyperlink"/>
                    <w:noProof/>
                  </w:rPr>
                  <w:t>За анкетата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8526C" w:rsidRDefault="0028526C">
              <w:pPr>
                <w:pStyle w:val="TOC2"/>
                <w:tabs>
                  <w:tab w:val="right" w:leader="dot" w:pos="9062"/>
                </w:tabs>
                <w:rPr>
                  <w:rFonts w:asciiTheme="minorHAnsi" w:eastAsiaTheme="minorEastAsia" w:hAnsiTheme="minorHAnsi" w:cstheme="minorBidi"/>
                  <w:noProof/>
                  <w:lang w:eastAsia="bg-BG"/>
                </w:rPr>
              </w:pPr>
              <w:hyperlink w:anchor="_Toc453060452" w:history="1">
                <w:r w:rsidRPr="009E0A3C">
                  <w:rPr>
                    <w:rStyle w:val="Hyperlink"/>
                    <w:noProof/>
                    <w:lang w:val="en-US"/>
                  </w:rPr>
                  <w:t>За Българска минно-геоложка камара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_Toc453060452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42559A" w:rsidRDefault="0042559A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091559" w:rsidRDefault="00091559" w:rsidP="0077389F">
          <w:pPr>
            <w:pStyle w:val="Heading1"/>
          </w:pPr>
          <w:bookmarkStart w:id="2" w:name="_Бизнес_климат_2016"/>
          <w:bookmarkStart w:id="3" w:name="_Toc453060441"/>
          <w:bookmarkEnd w:id="2"/>
          <w:r>
            <w:t>Бизнес климат</w:t>
          </w:r>
          <w:r w:rsidR="00344CF5">
            <w:t xml:space="preserve"> 2016</w:t>
          </w:r>
          <w:bookmarkEnd w:id="3"/>
        </w:p>
        <w:p w:rsidR="00F5077D" w:rsidRDefault="00433818" w:rsidP="00290BD7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>О</w:t>
          </w:r>
          <w:r w:rsidR="00290BD7" w:rsidRPr="001D3374">
            <w:rPr>
              <w:rFonts w:ascii="Arial Narrow" w:hAnsi="Arial Narrow"/>
              <w:sz w:val="24"/>
              <w:szCs w:val="24"/>
            </w:rPr>
            <w:t>чакванията за</w:t>
          </w:r>
          <w:r w:rsidR="00290BD7" w:rsidRPr="001D3374">
            <w:rPr>
              <w:rFonts w:ascii="Arial Narrow" w:hAnsi="Arial Narrow"/>
              <w:b/>
              <w:sz w:val="24"/>
              <w:szCs w:val="24"/>
            </w:rPr>
            <w:t xml:space="preserve"> бизнес климата </w:t>
          </w:r>
          <w:r w:rsidR="00290BD7" w:rsidRPr="001D3374">
            <w:rPr>
              <w:rFonts w:ascii="Arial Narrow" w:hAnsi="Arial Narrow"/>
              <w:sz w:val="24"/>
              <w:szCs w:val="24"/>
            </w:rPr>
            <w:t>през 2016 г.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</w:t>
          </w:r>
          <w:r w:rsidR="00290BD7" w:rsidRPr="001D3374">
            <w:rPr>
              <w:rFonts w:ascii="Arial Narrow" w:hAnsi="Arial Narrow"/>
              <w:sz w:val="24"/>
              <w:szCs w:val="24"/>
            </w:rPr>
            <w:t xml:space="preserve">ясно оформят две групи </w:t>
          </w:r>
          <w:r w:rsidR="0028526C">
            <w:rPr>
              <w:rFonts w:ascii="Arial Narrow" w:hAnsi="Arial Narrow"/>
              <w:sz w:val="24"/>
              <w:szCs w:val="24"/>
            </w:rPr>
            <w:t xml:space="preserve">сред </w:t>
          </w:r>
          <w:proofErr w:type="spellStart"/>
          <w:r w:rsidR="0028526C">
            <w:rPr>
              <w:rFonts w:ascii="Arial Narrow" w:hAnsi="Arial Narrow"/>
              <w:sz w:val="24"/>
              <w:szCs w:val="24"/>
            </w:rPr>
            <w:t>добивните</w:t>
          </w:r>
          <w:proofErr w:type="spellEnd"/>
          <w:r w:rsidR="0028526C">
            <w:rPr>
              <w:rFonts w:ascii="Arial Narrow" w:hAnsi="Arial Narrow"/>
              <w:sz w:val="24"/>
              <w:szCs w:val="24"/>
            </w:rPr>
            <w:t xml:space="preserve"> компании: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3/4 са умерени оптимисти, докато </w:t>
          </w:r>
          <w:r w:rsidR="00290BD7" w:rsidRPr="001D3374">
            <w:rPr>
              <w:rFonts w:ascii="Arial Narrow" w:hAnsi="Arial Narrow"/>
              <w:sz w:val="24"/>
              <w:szCs w:val="24"/>
            </w:rPr>
            <w:t xml:space="preserve">умерените песимисти са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1/4. </w:t>
          </w:r>
          <w:r w:rsidR="0028526C">
            <w:rPr>
              <w:rFonts w:ascii="Arial Narrow" w:hAnsi="Arial Narrow"/>
              <w:sz w:val="24"/>
              <w:szCs w:val="24"/>
            </w:rPr>
            <w:t xml:space="preserve">През </w:t>
          </w:r>
          <w:r w:rsidR="00F5077D">
            <w:rPr>
              <w:rFonts w:ascii="Arial Narrow" w:hAnsi="Arial Narrow"/>
              <w:sz w:val="24"/>
              <w:szCs w:val="24"/>
            </w:rPr>
            <w:t xml:space="preserve">2016 г. </w:t>
          </w:r>
          <w:r w:rsidRPr="001D3374">
            <w:rPr>
              <w:rFonts w:ascii="Arial Narrow" w:hAnsi="Arial Narrow"/>
              <w:sz w:val="24"/>
              <w:szCs w:val="24"/>
            </w:rPr>
            <w:t>отсъстват крайните оптимисти и песимисти</w:t>
          </w:r>
          <w:r w:rsidR="00F5077D">
            <w:rPr>
              <w:rFonts w:ascii="Arial Narrow" w:hAnsi="Arial Narrow"/>
              <w:sz w:val="24"/>
              <w:szCs w:val="24"/>
            </w:rPr>
            <w:t>. Тези отговори сякаш са „прелели“ в двете по-умерени категории.</w:t>
          </w:r>
        </w:p>
        <w:p w:rsidR="00290BD7" w:rsidRPr="001D3374" w:rsidRDefault="00290BD7" w:rsidP="00290BD7">
          <w:pPr>
            <w:spacing w:after="120" w:line="240" w:lineRule="auto"/>
            <w:jc w:val="both"/>
            <w:rPr>
              <w:rFonts w:ascii="Arial Narrow" w:hAnsi="Arial Narrow"/>
              <w:noProof/>
              <w:sz w:val="24"/>
              <w:szCs w:val="24"/>
              <w:lang w:eastAsia="bg-BG"/>
            </w:rPr>
          </w:pPr>
          <w:r w:rsidRPr="001D3374">
            <w:rPr>
              <w:rFonts w:ascii="Arial Narrow" w:hAnsi="Arial Narrow"/>
              <w:noProof/>
              <w:sz w:val="24"/>
              <w:szCs w:val="24"/>
              <w:lang w:eastAsia="bg-BG"/>
            </w:rPr>
            <w:drawing>
              <wp:inline distT="0" distB="0" distL="0" distR="0" wp14:anchorId="58C1A9C6" wp14:editId="189B0539">
                <wp:extent cx="5686425" cy="1428750"/>
                <wp:effectExtent l="0" t="0" r="9525" b="0"/>
                <wp:docPr id="12" name="Chart 12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9"/>
                  </a:graphicData>
                </a:graphic>
              </wp:inline>
            </w:drawing>
          </w:r>
        </w:p>
        <w:p w:rsidR="00290BD7" w:rsidRPr="001D3374" w:rsidRDefault="00DF44F1" w:rsidP="0028526C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sz w:val="24"/>
              <w:szCs w:val="24"/>
            </w:rPr>
            <w:t>З</w:t>
          </w:r>
          <w:r w:rsidR="00F5077D" w:rsidRPr="001D3374">
            <w:rPr>
              <w:rFonts w:ascii="Arial Narrow" w:hAnsi="Arial Narrow"/>
              <w:sz w:val="24"/>
              <w:szCs w:val="24"/>
            </w:rPr>
            <w:t xml:space="preserve">апазва </w:t>
          </w:r>
          <w:r>
            <w:rPr>
              <w:rFonts w:ascii="Arial Narrow" w:hAnsi="Arial Narrow"/>
              <w:sz w:val="24"/>
              <w:szCs w:val="24"/>
            </w:rPr>
            <w:t xml:space="preserve">се </w:t>
          </w:r>
          <w:r w:rsidR="00F5077D" w:rsidRPr="001D3374">
            <w:rPr>
              <w:rFonts w:ascii="Arial Narrow" w:hAnsi="Arial Narrow"/>
              <w:sz w:val="24"/>
              <w:szCs w:val="24"/>
            </w:rPr>
            <w:t>тенденцията от последните 3 г</w:t>
          </w:r>
          <w:r>
            <w:rPr>
              <w:rFonts w:ascii="Arial Narrow" w:hAnsi="Arial Narrow"/>
              <w:sz w:val="24"/>
              <w:szCs w:val="24"/>
            </w:rPr>
            <w:t xml:space="preserve">. </w:t>
          </w:r>
          <w:r w:rsidR="00F5077D" w:rsidRPr="001D3374">
            <w:rPr>
              <w:rFonts w:ascii="Arial Narrow" w:hAnsi="Arial Narrow"/>
              <w:sz w:val="24"/>
              <w:szCs w:val="24"/>
            </w:rPr>
            <w:t xml:space="preserve">за положителна нагласа на бранша </w:t>
          </w:r>
          <w:r>
            <w:rPr>
              <w:rFonts w:ascii="Arial Narrow" w:hAnsi="Arial Narrow"/>
              <w:sz w:val="24"/>
              <w:szCs w:val="24"/>
            </w:rPr>
            <w:t xml:space="preserve">към </w:t>
          </w:r>
          <w:r w:rsidR="00F5077D" w:rsidRPr="001D3374">
            <w:rPr>
              <w:rFonts w:ascii="Arial Narrow" w:hAnsi="Arial Narrow"/>
              <w:sz w:val="24"/>
              <w:szCs w:val="24"/>
            </w:rPr>
            <w:t>бизнес климата.</w:t>
          </w:r>
          <w:r w:rsidR="00290BD7" w:rsidRPr="001D3374">
            <w:rPr>
              <w:rFonts w:ascii="Arial Narrow" w:hAnsi="Arial Narrow"/>
              <w:noProof/>
              <w:sz w:val="24"/>
              <w:szCs w:val="24"/>
              <w:lang w:eastAsia="bg-BG"/>
            </w:rPr>
            <w:drawing>
              <wp:inline distT="0" distB="0" distL="0" distR="0" wp14:anchorId="0E240B97" wp14:editId="17DD55F5">
                <wp:extent cx="5591175" cy="2028825"/>
                <wp:effectExtent l="0" t="0" r="9525" b="9525"/>
                <wp:docPr id="13" name="Chart 13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0"/>
                  </a:graphicData>
                </a:graphic>
              </wp:inline>
            </w:drawing>
          </w:r>
        </w:p>
        <w:p w:rsidR="00634992" w:rsidRDefault="00634992" w:rsidP="00634992">
          <w:pPr>
            <w:pStyle w:val="Heading2"/>
          </w:pPr>
        </w:p>
        <w:p w:rsidR="00290BD7" w:rsidRPr="001D3374" w:rsidRDefault="00290BD7" w:rsidP="00320050">
          <w:pPr>
            <w:pStyle w:val="Heading1"/>
          </w:pPr>
          <w:bookmarkStart w:id="4" w:name="_Toc453060442"/>
          <w:r w:rsidRPr="001D3374">
            <w:t xml:space="preserve">Производство </w:t>
          </w:r>
          <w:r w:rsidR="001C3999">
            <w:t xml:space="preserve">през </w:t>
          </w:r>
          <w:r w:rsidRPr="001D3374">
            <w:t>2016 г.</w:t>
          </w:r>
          <w:bookmarkEnd w:id="4"/>
        </w:p>
        <w:p w:rsidR="00290BD7" w:rsidRDefault="00290BD7" w:rsidP="00290BD7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 xml:space="preserve">През 2016 г. 14% от компаниите, участвали в запитването, имат намерение да </w:t>
          </w:r>
          <w:r w:rsidRPr="001D3374">
            <w:rPr>
              <w:rFonts w:ascii="Arial Narrow" w:hAnsi="Arial Narrow"/>
              <w:i/>
              <w:sz w:val="24"/>
              <w:szCs w:val="24"/>
            </w:rPr>
            <w:t>увеличат своето производство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и 16% планират </w:t>
          </w:r>
          <w:r w:rsidRPr="001D3374">
            <w:rPr>
              <w:rFonts w:ascii="Arial Narrow" w:hAnsi="Arial Narrow"/>
              <w:i/>
              <w:sz w:val="24"/>
              <w:szCs w:val="24"/>
            </w:rPr>
            <w:t>увеличение на инвестиционната си програма</w:t>
          </w:r>
          <w:r w:rsidRPr="001D3374">
            <w:rPr>
              <w:rFonts w:ascii="Arial Narrow" w:hAnsi="Arial Narrow"/>
              <w:sz w:val="24"/>
              <w:szCs w:val="24"/>
            </w:rPr>
            <w:t>, като 13% ще запазят своето производство. Сумарно това дава 43% деклариран стремеж за устойчиво развитие, при само 1% декларирано намаляване на производството и 5% намаляване на инвестиционната програма.</w:t>
          </w:r>
        </w:p>
        <w:p w:rsidR="00290BD7" w:rsidRPr="001D3374" w:rsidRDefault="00290BD7" w:rsidP="00290BD7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 xml:space="preserve">В допълнение 14% от отговорилите предвиждат </w:t>
          </w:r>
          <w:r w:rsidRPr="001D3374">
            <w:rPr>
              <w:rFonts w:ascii="Arial Narrow" w:hAnsi="Arial Narrow"/>
              <w:i/>
              <w:sz w:val="24"/>
              <w:szCs w:val="24"/>
            </w:rPr>
            <w:t>увеличение на персонала</w:t>
          </w:r>
          <w:r w:rsidR="00433818" w:rsidRPr="001D3374">
            <w:rPr>
              <w:rFonts w:ascii="Arial Narrow" w:hAnsi="Arial Narrow"/>
              <w:sz w:val="24"/>
              <w:szCs w:val="24"/>
            </w:rPr>
            <w:t>.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Запазва се и относително високият</w:t>
          </w:r>
          <w:r w:rsidRPr="001D3374">
            <w:rPr>
              <w:rFonts w:ascii="Arial Narrow" w:hAnsi="Arial Narrow"/>
              <w:sz w:val="24"/>
              <w:szCs w:val="24"/>
              <w:lang w:val="en-US"/>
            </w:rPr>
            <w:t xml:space="preserve"> </w:t>
          </w:r>
          <w:r w:rsidRPr="001D3374">
            <w:rPr>
              <w:rFonts w:ascii="Arial Narrow" w:hAnsi="Arial Narrow"/>
              <w:sz w:val="24"/>
              <w:szCs w:val="24"/>
            </w:rPr>
            <w:t>дял на компаниите, които се насочват към търсене на нови канали за продажба (16%)</w:t>
          </w:r>
          <w:r w:rsidR="00DC1E6A">
            <w:rPr>
              <w:rFonts w:ascii="Arial Narrow" w:hAnsi="Arial Narrow"/>
              <w:sz w:val="24"/>
              <w:szCs w:val="24"/>
            </w:rPr>
            <w:t>.</w:t>
          </w:r>
          <w:r w:rsidR="00DC1E6A">
            <w:rPr>
              <w:rStyle w:val="FootnoteReference"/>
              <w:rFonts w:ascii="Arial Narrow" w:hAnsi="Arial Narrow"/>
              <w:sz w:val="24"/>
              <w:szCs w:val="24"/>
            </w:rPr>
            <w:footnoteReference w:id="2"/>
          </w:r>
        </w:p>
        <w:p w:rsidR="00290BD7" w:rsidRPr="001D3374" w:rsidRDefault="00290BD7" w:rsidP="00290BD7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  <w:lang w:val="en-US"/>
            </w:rPr>
          </w:pPr>
          <w:r w:rsidRPr="001D3374">
            <w:rPr>
              <w:rFonts w:ascii="Arial Narrow" w:hAnsi="Arial Narrow"/>
              <w:noProof/>
              <w:sz w:val="24"/>
              <w:szCs w:val="24"/>
              <w:lang w:eastAsia="bg-BG"/>
            </w:rPr>
            <w:drawing>
              <wp:inline distT="0" distB="0" distL="0" distR="0" wp14:anchorId="21375107" wp14:editId="622C35C9">
                <wp:extent cx="5857875" cy="4086225"/>
                <wp:effectExtent l="0" t="0" r="9525" b="9525"/>
                <wp:docPr id="19" name="Chart 19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1"/>
                  </a:graphicData>
                </a:graphic>
              </wp:inline>
            </w:drawing>
          </w:r>
        </w:p>
        <w:p w:rsidR="00DF44F1" w:rsidRDefault="00DF44F1" w:rsidP="00320050">
          <w:pPr>
            <w:pStyle w:val="Heading1"/>
          </w:pPr>
        </w:p>
        <w:p w:rsidR="00290BD7" w:rsidRPr="00AD5D04" w:rsidRDefault="00290BD7" w:rsidP="00320050">
          <w:pPr>
            <w:pStyle w:val="Heading1"/>
          </w:pPr>
          <w:bookmarkStart w:id="5" w:name="_Toc453060443"/>
          <w:r w:rsidRPr="00AD5D04">
            <w:t>Инвестиции през 2016 г.</w:t>
          </w:r>
          <w:bookmarkEnd w:id="5"/>
        </w:p>
        <w:p w:rsidR="00091559" w:rsidRDefault="00290BD7" w:rsidP="00290BD7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b/>
              <w:sz w:val="24"/>
              <w:szCs w:val="24"/>
            </w:rPr>
            <w:t>Инвестициите</w:t>
          </w:r>
          <w:r w:rsidRPr="001D3374">
            <w:rPr>
              <w:rFonts w:ascii="Arial Narrow" w:hAnsi="Arial Narrow"/>
              <w:sz w:val="24"/>
              <w:szCs w:val="24"/>
            </w:rPr>
            <w:t>, които най-много от анкетираните компаниите планират през 201</w:t>
          </w:r>
          <w:r w:rsidRPr="001D3374">
            <w:rPr>
              <w:rFonts w:ascii="Arial Narrow" w:hAnsi="Arial Narrow"/>
              <w:sz w:val="24"/>
              <w:szCs w:val="24"/>
              <w:lang w:val="en-US"/>
            </w:rPr>
            <w:t>6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г. са в ново оборудване (15%), подобряване условията на труд (14%) и повишаване квалификацията на персонала (14%). Тези резултати говорят за стратегическо планиране за запазване на кадрите и повишаване нивото на безопасност в </w:t>
          </w:r>
          <w:proofErr w:type="spellStart"/>
          <w:r w:rsidR="00091559">
            <w:rPr>
              <w:rFonts w:ascii="Arial Narrow" w:hAnsi="Arial Narrow"/>
              <w:sz w:val="24"/>
              <w:szCs w:val="24"/>
            </w:rPr>
            <w:t>добивните</w:t>
          </w:r>
          <w:proofErr w:type="spellEnd"/>
          <w:r w:rsidR="00091559">
            <w:rPr>
              <w:rFonts w:ascii="Arial Narrow" w:hAnsi="Arial Narrow"/>
              <w:sz w:val="24"/>
              <w:szCs w:val="24"/>
            </w:rPr>
            <w:t xml:space="preserve"> компании.</w:t>
          </w:r>
        </w:p>
        <w:p w:rsidR="00290BD7" w:rsidRPr="001D3374" w:rsidRDefault="00290BD7" w:rsidP="00290BD7">
          <w:pPr>
            <w:spacing w:line="240" w:lineRule="auto"/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lastRenderedPageBreak/>
            <w:t>Внимание заслужават и резултатите за подобряване на енергийната ефективност (11%) и опазване на околната среда (10%). В комбинация с предходните показват отговорното отношение на членовете на</w:t>
          </w:r>
          <w:r w:rsidR="00091559">
            <w:rPr>
              <w:rFonts w:ascii="Arial Narrow" w:hAnsi="Arial Narrow"/>
              <w:sz w:val="24"/>
              <w:szCs w:val="24"/>
            </w:rPr>
            <w:t xml:space="preserve"> БМГК към устойчивото развитие.</w:t>
          </w:r>
        </w:p>
        <w:p w:rsidR="00290BD7" w:rsidRPr="001D3374" w:rsidRDefault="00290BD7" w:rsidP="00290BD7">
          <w:pPr>
            <w:spacing w:line="240" w:lineRule="auto"/>
            <w:jc w:val="both"/>
            <w:rPr>
              <w:rFonts w:ascii="Arial Narrow" w:hAnsi="Arial Narrow"/>
              <w:b/>
              <w:sz w:val="24"/>
              <w:szCs w:val="24"/>
            </w:rPr>
          </w:pPr>
          <w:r w:rsidRPr="001D3374">
            <w:rPr>
              <w:rFonts w:ascii="Arial Narrow" w:hAnsi="Arial Narrow"/>
              <w:noProof/>
              <w:sz w:val="24"/>
              <w:szCs w:val="24"/>
              <w:lang w:eastAsia="bg-BG"/>
            </w:rPr>
            <w:drawing>
              <wp:inline distT="0" distB="0" distL="0" distR="0" wp14:anchorId="55183B5B" wp14:editId="1DA9FC02">
                <wp:extent cx="5762625" cy="3000375"/>
                <wp:effectExtent l="0" t="0" r="9525" b="9525"/>
                <wp:docPr id="20" name="Chart 20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2"/>
                  </a:graphicData>
                </a:graphic>
              </wp:inline>
            </w:drawing>
          </w:r>
        </w:p>
        <w:p w:rsidR="00290BD7" w:rsidRPr="001D3374" w:rsidRDefault="00290BD7" w:rsidP="00290BD7">
          <w:pPr>
            <w:spacing w:line="240" w:lineRule="auto"/>
            <w:jc w:val="both"/>
            <w:rPr>
              <w:rFonts w:ascii="Arial Narrow" w:hAnsi="Arial Narrow"/>
              <w:b/>
              <w:sz w:val="24"/>
              <w:szCs w:val="24"/>
            </w:rPr>
          </w:pPr>
        </w:p>
        <w:p w:rsidR="00290BD7" w:rsidRPr="001D3374" w:rsidRDefault="00290BD7" w:rsidP="00091559">
          <w:pPr>
            <w:pStyle w:val="Heading1"/>
          </w:pPr>
          <w:bookmarkStart w:id="6" w:name="_Toc453060444"/>
          <w:r w:rsidRPr="001D3374">
            <w:t>Планирани инвестиции – сравнение по години (2014</w:t>
          </w:r>
          <w:r w:rsidR="00091559">
            <w:t xml:space="preserve"> - 2016</w:t>
          </w:r>
          <w:r w:rsidRPr="001D3374">
            <w:t>)</w:t>
          </w:r>
          <w:bookmarkEnd w:id="6"/>
        </w:p>
        <w:p w:rsidR="00290BD7" w:rsidRPr="001D3374" w:rsidRDefault="00290BD7" w:rsidP="00290BD7">
          <w:pPr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br/>
            <w:t>Сравнението за последните 3 години показва постоянен фокус върху персонала на компаниите – от подобряване на условията на труд (12%, 16%, 14%) до повишаване квалификацията им (19%, 14%, 15%).</w:t>
          </w:r>
        </w:p>
        <w:p w:rsidR="00290BD7" w:rsidRPr="001D3374" w:rsidRDefault="00290BD7" w:rsidP="00290BD7">
          <w:pPr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>Големи</w:t>
          </w:r>
          <w:r w:rsidR="00E768D5">
            <w:rPr>
              <w:rFonts w:ascii="Arial Narrow" w:hAnsi="Arial Narrow"/>
              <w:sz w:val="24"/>
              <w:szCs w:val="24"/>
            </w:rPr>
            <w:t>те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 разлики се откриват при инвестиране в нови технологии (вариация от 7% през годините) и ново оборудване (вариация от 9% през годините). </w:t>
          </w:r>
          <w:r w:rsidR="00E768D5">
            <w:rPr>
              <w:rFonts w:ascii="Arial Narrow" w:hAnsi="Arial Narrow"/>
              <w:sz w:val="24"/>
              <w:szCs w:val="24"/>
            </w:rPr>
            <w:t xml:space="preserve">През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2016 г. </w:t>
          </w:r>
          <w:r w:rsidR="00E768D5">
            <w:rPr>
              <w:rFonts w:ascii="Arial Narrow" w:hAnsi="Arial Narrow"/>
              <w:sz w:val="24"/>
              <w:szCs w:val="24"/>
            </w:rPr>
            <w:t xml:space="preserve">включихме нов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отговор – </w:t>
          </w:r>
          <w:r w:rsidR="00E768D5">
            <w:rPr>
              <w:rFonts w:ascii="Arial Narrow" w:hAnsi="Arial Narrow"/>
              <w:sz w:val="24"/>
              <w:szCs w:val="24"/>
            </w:rPr>
            <w:t>„</w:t>
          </w:r>
          <w:r w:rsidRPr="001D3374">
            <w:rPr>
              <w:rFonts w:ascii="Arial Narrow" w:hAnsi="Arial Narrow"/>
              <w:sz w:val="24"/>
              <w:szCs w:val="24"/>
            </w:rPr>
            <w:t>иновации</w:t>
          </w:r>
          <w:r w:rsidR="00E768D5">
            <w:rPr>
              <w:rFonts w:ascii="Arial Narrow" w:hAnsi="Arial Narrow"/>
              <w:sz w:val="24"/>
              <w:szCs w:val="24"/>
            </w:rPr>
            <w:t xml:space="preserve">“ – и </w:t>
          </w:r>
          <w:r w:rsidRPr="001D3374">
            <w:rPr>
              <w:rFonts w:ascii="Arial Narrow" w:hAnsi="Arial Narrow"/>
              <w:sz w:val="24"/>
              <w:szCs w:val="24"/>
            </w:rPr>
            <w:t>13% от отговорилите</w:t>
          </w:r>
          <w:r w:rsidR="00E768D5">
            <w:rPr>
              <w:rFonts w:ascii="Arial Narrow" w:hAnsi="Arial Narrow"/>
              <w:sz w:val="24"/>
              <w:szCs w:val="24"/>
            </w:rPr>
            <w:t xml:space="preserve"> са го маркирали</w:t>
          </w:r>
          <w:r w:rsidRPr="001D3374">
            <w:rPr>
              <w:rFonts w:ascii="Arial Narrow" w:hAnsi="Arial Narrow"/>
              <w:sz w:val="24"/>
              <w:szCs w:val="24"/>
            </w:rPr>
            <w:t>.</w:t>
          </w:r>
          <w:r w:rsidR="00912E11">
            <w:rPr>
              <w:rStyle w:val="FootnoteReference"/>
              <w:rFonts w:ascii="Arial Narrow" w:hAnsi="Arial Narrow"/>
              <w:sz w:val="24"/>
              <w:szCs w:val="24"/>
            </w:rPr>
            <w:footnoteReference w:id="3"/>
          </w:r>
          <w:r w:rsidRPr="001D3374">
            <w:rPr>
              <w:rFonts w:ascii="Arial Narrow" w:hAnsi="Arial Narrow"/>
              <w:sz w:val="24"/>
              <w:szCs w:val="24"/>
            </w:rPr>
            <w:t xml:space="preserve"> Тези резултати говорят за това, че </w:t>
          </w:r>
          <w:proofErr w:type="spellStart"/>
          <w:r w:rsidRPr="001D3374">
            <w:rPr>
              <w:rFonts w:ascii="Arial Narrow" w:hAnsi="Arial Narrow"/>
              <w:sz w:val="24"/>
              <w:szCs w:val="24"/>
            </w:rPr>
            <w:t>добивната</w:t>
          </w:r>
          <w:proofErr w:type="spellEnd"/>
          <w:r w:rsidRPr="001D3374">
            <w:rPr>
              <w:rFonts w:ascii="Arial Narrow" w:hAnsi="Arial Narrow"/>
              <w:sz w:val="24"/>
              <w:szCs w:val="24"/>
            </w:rPr>
            <w:t xml:space="preserve"> индустрия разчита на технологиите и </w:t>
          </w:r>
          <w:r w:rsidR="00E768D5">
            <w:rPr>
              <w:rFonts w:ascii="Arial Narrow" w:hAnsi="Arial Narrow"/>
              <w:sz w:val="24"/>
              <w:szCs w:val="24"/>
            </w:rPr>
            <w:t xml:space="preserve">подобренията в процесите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за своята работа, но и за това, че компаниите следят тенденциите и планират инвестиции, които да ги трансформират в лидери и да запазят </w:t>
          </w:r>
          <w:r w:rsidR="00E768D5">
            <w:rPr>
              <w:rFonts w:ascii="Arial Narrow" w:hAnsi="Arial Narrow"/>
              <w:sz w:val="24"/>
              <w:szCs w:val="24"/>
            </w:rPr>
            <w:t xml:space="preserve">водещите </w:t>
          </w:r>
          <w:r w:rsidRPr="001D3374">
            <w:rPr>
              <w:rFonts w:ascii="Arial Narrow" w:hAnsi="Arial Narrow"/>
              <w:sz w:val="24"/>
              <w:szCs w:val="24"/>
            </w:rPr>
            <w:t xml:space="preserve">им позиции. Освен това комбинацията между технологии и иновации води не само до икономии от тяхното внедряване (и от мащаба в отделни случаи), но и до </w:t>
          </w:r>
          <w:r w:rsidR="00E768D5">
            <w:rPr>
              <w:rFonts w:ascii="Arial Narrow" w:hAnsi="Arial Narrow"/>
              <w:sz w:val="24"/>
              <w:szCs w:val="24"/>
            </w:rPr>
            <w:t xml:space="preserve">опазване </w:t>
          </w:r>
          <w:r w:rsidRPr="001D3374">
            <w:rPr>
              <w:rFonts w:ascii="Arial Narrow" w:hAnsi="Arial Narrow"/>
              <w:sz w:val="24"/>
              <w:szCs w:val="24"/>
            </w:rPr>
            <w:t>на околната среда и повишаване на безопасността.</w:t>
          </w:r>
        </w:p>
        <w:p w:rsidR="00290BD7" w:rsidRPr="001D3374" w:rsidRDefault="00290BD7" w:rsidP="00290BD7">
          <w:pPr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 xml:space="preserve">Като стабилни могат да се определят и инвестициите в опазване на околната среда (вариация от 4% през годините) и разширяване на производството (5% вариация). </w:t>
          </w:r>
        </w:p>
        <w:p w:rsidR="00290BD7" w:rsidRPr="001D3374" w:rsidRDefault="00290BD7" w:rsidP="00290BD7">
          <w:pPr>
            <w:jc w:val="both"/>
            <w:rPr>
              <w:rFonts w:ascii="Arial Narrow" w:hAnsi="Arial Narrow"/>
              <w:sz w:val="24"/>
              <w:szCs w:val="24"/>
            </w:rPr>
          </w:pPr>
          <w:r w:rsidRPr="001D3374">
            <w:rPr>
              <w:rFonts w:ascii="Arial Narrow" w:hAnsi="Arial Narrow"/>
              <w:sz w:val="24"/>
              <w:szCs w:val="24"/>
            </w:rPr>
            <w:t xml:space="preserve">На двата полюса като тенденции са разширяване на външно-търговската дейност и подобряване на енергийната ефективност. Резултатът на първия говори за „свиване“ на износа и фокусиране на дейността на членовете на БМГК само в България. Докато втората показва осъзната нужда за инвестиране в не-енергоемки технологии и/или заместване на съществуващи с по-ефективни. </w:t>
          </w:r>
          <w:r w:rsidRPr="001D3374">
            <w:rPr>
              <w:rFonts w:ascii="Arial Narrow" w:hAnsi="Arial Narrow"/>
              <w:sz w:val="24"/>
              <w:szCs w:val="24"/>
            </w:rPr>
            <w:lastRenderedPageBreak/>
            <w:t>Може да се дължи и до промяна на производствени процеси и тяхната коренна трансформация с оглед пестене на енергия.</w:t>
          </w:r>
        </w:p>
        <w:p w:rsidR="00290BD7" w:rsidRPr="001D3374" w:rsidRDefault="007C358D" w:rsidP="00290BD7">
          <w:pPr>
            <w:jc w:val="both"/>
            <w:rPr>
              <w:rFonts w:ascii="Arial Narrow" w:hAnsi="Arial Narrow"/>
              <w:b/>
              <w:sz w:val="24"/>
              <w:szCs w:val="24"/>
            </w:rPr>
          </w:pPr>
          <w:r>
            <w:rPr>
              <w:noProof/>
              <w:lang w:eastAsia="bg-BG"/>
            </w:rPr>
            <w:drawing>
              <wp:inline distT="0" distB="0" distL="0" distR="0" wp14:anchorId="14CC6031" wp14:editId="43C3042B">
                <wp:extent cx="5619750" cy="3581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13"/>
                  </a:graphicData>
                </a:graphic>
              </wp:inline>
            </w:drawing>
          </w:r>
        </w:p>
        <w:p w:rsidR="00226578" w:rsidRPr="001D3374" w:rsidRDefault="00A32EA6" w:rsidP="00E70D0B">
          <w:pPr>
            <w:spacing w:after="0" w:line="240" w:lineRule="auto"/>
            <w:jc w:val="both"/>
            <w:rPr>
              <w:rFonts w:ascii="Arial Narrow" w:hAnsi="Arial Narrow"/>
              <w:b/>
              <w:sz w:val="24"/>
              <w:szCs w:val="24"/>
            </w:rPr>
          </w:pPr>
        </w:p>
      </w:sdtContent>
    </w:sdt>
    <w:bookmarkStart w:id="7" w:name="_ОБЩА_ИНФОРМАЦИЯ" w:displacedByCustomXml="prev"/>
    <w:bookmarkEnd w:id="7" w:displacedByCustomXml="prev"/>
    <w:p w:rsidR="00636A5E" w:rsidRDefault="00636A5E" w:rsidP="00E768D5">
      <w:pPr>
        <w:pStyle w:val="Heading1"/>
      </w:pPr>
      <w:bookmarkStart w:id="8" w:name="_Toc453060445"/>
      <w:r w:rsidRPr="001D3374">
        <w:t>БИЗНЕС КЛИМАТ</w:t>
      </w:r>
      <w:r w:rsidR="00F2525B" w:rsidRPr="001D3374">
        <w:t xml:space="preserve"> 2015</w:t>
      </w:r>
      <w:r w:rsidR="007C358D">
        <w:t xml:space="preserve"> - оценка</w:t>
      </w:r>
      <w:bookmarkEnd w:id="8"/>
    </w:p>
    <w:p w:rsidR="00D07A9A" w:rsidRPr="001D3374" w:rsidRDefault="00EA07DD" w:rsidP="00E768D5">
      <w:pPr>
        <w:pStyle w:val="Heading2"/>
      </w:pPr>
      <w:bookmarkStart w:id="9" w:name="_Toc453060446"/>
      <w:r w:rsidRPr="001D3374">
        <w:t>Обща картина</w:t>
      </w:r>
      <w:bookmarkEnd w:id="9"/>
    </w:p>
    <w:p w:rsidR="003C2D4F" w:rsidRPr="001D3374" w:rsidRDefault="00F2525B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О</w:t>
      </w:r>
      <w:r w:rsidR="00611637" w:rsidRPr="001D3374">
        <w:rPr>
          <w:rFonts w:ascii="Arial Narrow" w:hAnsi="Arial Narrow"/>
          <w:color w:val="000000" w:themeColor="text1"/>
          <w:sz w:val="24"/>
          <w:szCs w:val="24"/>
        </w:rPr>
        <w:t>ценка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та</w:t>
      </w:r>
      <w:r w:rsidR="00611637" w:rsidRPr="001D3374">
        <w:rPr>
          <w:rFonts w:ascii="Arial Narrow" w:hAnsi="Arial Narrow"/>
          <w:color w:val="000000" w:themeColor="text1"/>
          <w:sz w:val="24"/>
          <w:szCs w:val="24"/>
        </w:rPr>
        <w:t xml:space="preserve"> на компан</w:t>
      </w:r>
      <w:r w:rsidR="00B95C47" w:rsidRPr="001D3374">
        <w:rPr>
          <w:rFonts w:ascii="Arial Narrow" w:hAnsi="Arial Narrow"/>
          <w:color w:val="000000" w:themeColor="text1"/>
          <w:sz w:val="24"/>
          <w:szCs w:val="24"/>
        </w:rPr>
        <w:t xml:space="preserve">иите за бизнес климата </w:t>
      </w:r>
      <w:r w:rsidR="00C95722" w:rsidRPr="001D3374">
        <w:rPr>
          <w:rFonts w:ascii="Arial Narrow" w:hAnsi="Arial Narrow"/>
          <w:color w:val="000000" w:themeColor="text1"/>
          <w:sz w:val="24"/>
          <w:szCs w:val="24"/>
        </w:rPr>
        <w:t xml:space="preserve">в страната </w:t>
      </w:r>
      <w:r w:rsidR="00B95C47" w:rsidRPr="001D3374">
        <w:rPr>
          <w:rFonts w:ascii="Arial Narrow" w:hAnsi="Arial Narrow"/>
          <w:color w:val="000000" w:themeColor="text1"/>
          <w:sz w:val="24"/>
          <w:szCs w:val="24"/>
        </w:rPr>
        <w:t>през 201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5</w:t>
      </w:r>
      <w:r w:rsidR="00611637" w:rsidRPr="001D3374">
        <w:rPr>
          <w:rFonts w:ascii="Arial Narrow" w:hAnsi="Arial Narrow"/>
          <w:color w:val="000000" w:themeColor="text1"/>
          <w:sz w:val="24"/>
          <w:szCs w:val="24"/>
        </w:rPr>
        <w:t xml:space="preserve"> г. е пре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димно </w:t>
      </w:r>
      <w:r w:rsidR="00611637" w:rsidRPr="001D3374">
        <w:rPr>
          <w:rFonts w:ascii="Arial Narrow" w:hAnsi="Arial Narrow"/>
          <w:color w:val="000000" w:themeColor="text1"/>
          <w:sz w:val="24"/>
          <w:szCs w:val="24"/>
        </w:rPr>
        <w:t>положителна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(52%)</w:t>
      </w:r>
      <w:r w:rsidR="003C2D4F" w:rsidRPr="001D3374">
        <w:rPr>
          <w:rFonts w:ascii="Arial Narrow" w:hAnsi="Arial Narrow"/>
          <w:color w:val="000000" w:themeColor="text1"/>
          <w:sz w:val="24"/>
          <w:szCs w:val="24"/>
        </w:rPr>
        <w:t xml:space="preserve">. Този резултат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продължава</w:t>
      </w:r>
      <w:r w:rsidR="003C2D4F" w:rsidRPr="001D337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тенденцията</w:t>
      </w:r>
      <w:r w:rsidR="003C2D4F" w:rsidRPr="001D3374">
        <w:rPr>
          <w:rFonts w:ascii="Arial Narrow" w:hAnsi="Arial Narrow"/>
          <w:color w:val="000000" w:themeColor="text1"/>
          <w:sz w:val="24"/>
          <w:szCs w:val="24"/>
        </w:rPr>
        <w:t xml:space="preserve"> от предходната година, с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3C2D4F" w:rsidRPr="001D3374">
        <w:rPr>
          <w:rFonts w:ascii="Arial Narrow" w:hAnsi="Arial Narrow"/>
          <w:color w:val="000000" w:themeColor="text1"/>
          <w:sz w:val="24"/>
          <w:szCs w:val="24"/>
        </w:rPr>
        <w:t xml:space="preserve">тази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разлика, че абсолютният брой отговорили намалява с 13% (при 65% през 2015 г.)</w:t>
      </w:r>
      <w:r w:rsidR="003C2D4F" w:rsidRPr="001D3374">
        <w:rPr>
          <w:rFonts w:ascii="Arial Narrow" w:hAnsi="Arial Narrow"/>
          <w:color w:val="000000" w:themeColor="text1"/>
          <w:sz w:val="24"/>
          <w:szCs w:val="24"/>
        </w:rPr>
        <w:t xml:space="preserve">. </w:t>
      </w:r>
    </w:p>
    <w:p w:rsidR="00F2525B" w:rsidRPr="001D3374" w:rsidRDefault="003C2D4F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У</w:t>
      </w:r>
      <w:r w:rsidR="00F2525B" w:rsidRPr="001D3374">
        <w:rPr>
          <w:rFonts w:ascii="Arial Narrow" w:hAnsi="Arial Narrow"/>
          <w:color w:val="000000" w:themeColor="text1"/>
          <w:sz w:val="24"/>
          <w:szCs w:val="24"/>
        </w:rPr>
        <w:t>величава броят на тези, които не отчитат разлика между двете години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(2015 и 2014 г.)</w:t>
      </w:r>
      <w:r w:rsidR="00F2525B" w:rsidRPr="001D3374">
        <w:rPr>
          <w:rFonts w:ascii="Arial Narrow" w:hAnsi="Arial Narrow"/>
          <w:color w:val="000000" w:themeColor="text1"/>
          <w:sz w:val="24"/>
          <w:szCs w:val="24"/>
        </w:rPr>
        <w:t xml:space="preserve">. На фона на кризата </w:t>
      </w:r>
      <w:r w:rsidR="00E768D5">
        <w:rPr>
          <w:rFonts w:ascii="Arial Narrow" w:hAnsi="Arial Narrow"/>
          <w:color w:val="000000" w:themeColor="text1"/>
          <w:sz w:val="24"/>
          <w:szCs w:val="24"/>
        </w:rPr>
        <w:t xml:space="preserve">с цените </w:t>
      </w:r>
      <w:r w:rsidR="00F2525B" w:rsidRPr="001D3374">
        <w:rPr>
          <w:rFonts w:ascii="Arial Narrow" w:hAnsi="Arial Narrow"/>
          <w:color w:val="000000" w:themeColor="text1"/>
          <w:sz w:val="24"/>
          <w:szCs w:val="24"/>
        </w:rPr>
        <w:t xml:space="preserve">на металите, политическата нестабилност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(2014 г.) </w:t>
      </w:r>
      <w:r w:rsidR="00F2525B" w:rsidRPr="001D3374">
        <w:rPr>
          <w:rFonts w:ascii="Arial Narrow" w:hAnsi="Arial Narrow"/>
          <w:color w:val="000000" w:themeColor="text1"/>
          <w:sz w:val="24"/>
          <w:szCs w:val="24"/>
        </w:rPr>
        <w:t>и зависимостта на българската икономика от европейските фондове, това може да се тълкува като добра новина.</w:t>
      </w:r>
    </w:p>
    <w:p w:rsidR="00611637" w:rsidRPr="001D3374" w:rsidRDefault="00F2525B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Другата позитивна новина тук е и намаляващият брой компании, които определят предходната година като неуспешна. Това са 19% (близо 1/5 от анкетираните), което пък е най-ниската стойност на този отговор от 2012 г. насам.</w:t>
      </w:r>
      <w:r w:rsidR="00156424" w:rsidRPr="001D337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</w:p>
    <w:p w:rsidR="004B273F" w:rsidRPr="001D3374" w:rsidRDefault="00F2525B" w:rsidP="00E70D0B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1D3374">
        <w:rPr>
          <w:rFonts w:ascii="Arial Narrow" w:hAnsi="Arial Narrow"/>
          <w:noProof/>
          <w:sz w:val="24"/>
          <w:szCs w:val="24"/>
          <w:lang w:eastAsia="bg-BG"/>
        </w:rPr>
        <w:drawing>
          <wp:inline distT="0" distB="0" distL="0" distR="0" wp14:anchorId="206E8BB0" wp14:editId="4BF192CA">
            <wp:extent cx="5629275" cy="1724025"/>
            <wp:effectExtent l="0" t="0" r="9525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D3E03" w:rsidRPr="00E768D5" w:rsidRDefault="00BD3E03" w:rsidP="00E768D5">
      <w:pPr>
        <w:pStyle w:val="Heading2"/>
      </w:pPr>
      <w:bookmarkStart w:id="10" w:name="_Toc453060447"/>
      <w:r w:rsidRPr="00E768D5">
        <w:lastRenderedPageBreak/>
        <w:t>Производство и персонал</w:t>
      </w:r>
      <w:bookmarkEnd w:id="10"/>
    </w:p>
    <w:p w:rsidR="00C9544E" w:rsidRPr="001D3374" w:rsidRDefault="00192AD2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П</w:t>
      </w:r>
      <w:r w:rsidR="005E675A" w:rsidRPr="001D3374">
        <w:rPr>
          <w:rFonts w:ascii="Arial Narrow" w:hAnsi="Arial Narrow"/>
          <w:color w:val="000000" w:themeColor="text1"/>
          <w:sz w:val="24"/>
          <w:szCs w:val="24"/>
        </w:rPr>
        <w:t>р</w:t>
      </w:r>
      <w:r w:rsidR="00422FCB" w:rsidRPr="001D3374">
        <w:rPr>
          <w:rFonts w:ascii="Arial Narrow" w:hAnsi="Arial Narrow"/>
          <w:color w:val="000000" w:themeColor="text1"/>
          <w:sz w:val="24"/>
          <w:szCs w:val="24"/>
        </w:rPr>
        <w:t>ез 201</w:t>
      </w:r>
      <w:r w:rsidR="00670D8F" w:rsidRPr="001D3374">
        <w:rPr>
          <w:rFonts w:ascii="Arial Narrow" w:hAnsi="Arial Narrow"/>
          <w:color w:val="000000" w:themeColor="text1"/>
          <w:sz w:val="24"/>
          <w:szCs w:val="24"/>
        </w:rPr>
        <w:t>5</w:t>
      </w:r>
      <w:r w:rsidR="008E555E" w:rsidRPr="001D3374">
        <w:rPr>
          <w:rFonts w:ascii="Arial Narrow" w:hAnsi="Arial Narrow"/>
          <w:color w:val="000000" w:themeColor="text1"/>
          <w:sz w:val="24"/>
          <w:szCs w:val="24"/>
        </w:rPr>
        <w:t xml:space="preserve"> г. </w:t>
      </w:r>
      <w:r w:rsidR="00670D8F" w:rsidRPr="001D3374">
        <w:rPr>
          <w:rFonts w:ascii="Arial Narrow" w:hAnsi="Arial Narrow"/>
          <w:color w:val="000000" w:themeColor="text1"/>
          <w:sz w:val="24"/>
          <w:szCs w:val="24"/>
        </w:rPr>
        <w:t xml:space="preserve">близо 1/5 </w:t>
      </w:r>
      <w:r w:rsidR="008E555E" w:rsidRPr="001D3374">
        <w:rPr>
          <w:rFonts w:ascii="Arial Narrow" w:hAnsi="Arial Narrow"/>
          <w:color w:val="000000" w:themeColor="text1"/>
          <w:sz w:val="24"/>
          <w:szCs w:val="24"/>
        </w:rPr>
        <w:t xml:space="preserve">от </w:t>
      </w:r>
      <w:r w:rsidR="00670D8F" w:rsidRPr="001D3374">
        <w:rPr>
          <w:rFonts w:ascii="Arial Narrow" w:hAnsi="Arial Narrow"/>
          <w:color w:val="000000" w:themeColor="text1"/>
          <w:sz w:val="24"/>
          <w:szCs w:val="24"/>
        </w:rPr>
        <w:t xml:space="preserve">анкетираните заявяват, че са </w:t>
      </w:r>
      <w:r w:rsidR="008E555E" w:rsidRPr="001D3374">
        <w:rPr>
          <w:rFonts w:ascii="Arial Narrow" w:hAnsi="Arial Narrow"/>
          <w:color w:val="000000" w:themeColor="text1"/>
          <w:sz w:val="24"/>
          <w:szCs w:val="24"/>
        </w:rPr>
        <w:t xml:space="preserve">увеличили своето </w:t>
      </w:r>
      <w:r w:rsidR="008E555E" w:rsidRPr="001D3374">
        <w:rPr>
          <w:rFonts w:ascii="Arial Narrow" w:hAnsi="Arial Narrow"/>
          <w:b/>
          <w:color w:val="000000" w:themeColor="text1"/>
          <w:sz w:val="24"/>
          <w:szCs w:val="24"/>
        </w:rPr>
        <w:t>производство</w:t>
      </w:r>
      <w:r w:rsidR="00C9544E" w:rsidRPr="001D3374">
        <w:rPr>
          <w:rFonts w:ascii="Arial Narrow" w:hAnsi="Arial Narrow"/>
          <w:b/>
          <w:color w:val="000000" w:themeColor="text1"/>
          <w:sz w:val="24"/>
          <w:szCs w:val="24"/>
        </w:rPr>
        <w:t xml:space="preserve">. </w:t>
      </w:r>
      <w:r w:rsidR="00C9544E" w:rsidRPr="001D3374">
        <w:rPr>
          <w:rFonts w:ascii="Arial Narrow" w:hAnsi="Arial Narrow"/>
          <w:color w:val="000000" w:themeColor="text1"/>
          <w:sz w:val="24"/>
          <w:szCs w:val="24"/>
        </w:rPr>
        <w:t xml:space="preserve">Увеличението може да се дължи както на нарастващ пазарен дял (и </w:t>
      </w:r>
      <w:r w:rsidR="003C2D4F" w:rsidRPr="001D3374">
        <w:rPr>
          <w:rFonts w:ascii="Arial Narrow" w:hAnsi="Arial Narrow"/>
          <w:color w:val="000000" w:themeColor="text1"/>
          <w:sz w:val="24"/>
          <w:szCs w:val="24"/>
        </w:rPr>
        <w:t>на</w:t>
      </w:r>
      <w:r w:rsidR="00C9544E" w:rsidRPr="001D3374">
        <w:rPr>
          <w:rFonts w:ascii="Arial Narrow" w:hAnsi="Arial Narrow"/>
          <w:color w:val="000000" w:themeColor="text1"/>
          <w:sz w:val="24"/>
          <w:szCs w:val="24"/>
        </w:rPr>
        <w:t xml:space="preserve">влизане на нови пазари) в резултат на подобряващата се икономика, повишен износ и увеличаващо последващо производство. Но може да се дължи (в „Рудодобив“) на мерки за компенсиране на намаляващите цени на металите на световните борси. </w:t>
      </w:r>
    </w:p>
    <w:p w:rsidR="00F74224" w:rsidRPr="001D3374" w:rsidRDefault="00C9544E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И</w:t>
      </w:r>
      <w:r w:rsidR="009B79A0" w:rsidRPr="001D3374">
        <w:rPr>
          <w:rFonts w:ascii="Arial Narrow" w:hAnsi="Arial Narrow"/>
          <w:color w:val="000000" w:themeColor="text1"/>
          <w:sz w:val="24"/>
          <w:szCs w:val="24"/>
        </w:rPr>
        <w:t>нвестициите</w:t>
      </w:r>
      <w:r w:rsidR="00C822E1" w:rsidRPr="001D337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през 2015 г. са на нивото от 2013 г. </w:t>
      </w:r>
      <w:r w:rsidR="00C822E1" w:rsidRPr="001D3374">
        <w:rPr>
          <w:rFonts w:ascii="Arial Narrow" w:hAnsi="Arial Narrow"/>
          <w:color w:val="000000" w:themeColor="text1"/>
          <w:sz w:val="24"/>
          <w:szCs w:val="24"/>
        </w:rPr>
        <w:t>(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13</w:t>
      </w:r>
      <w:r w:rsidR="00C822E1" w:rsidRPr="001D3374">
        <w:rPr>
          <w:rFonts w:ascii="Arial Narrow" w:hAnsi="Arial Narrow"/>
          <w:color w:val="000000" w:themeColor="text1"/>
          <w:sz w:val="24"/>
          <w:szCs w:val="24"/>
        </w:rPr>
        <w:t>%)</w:t>
      </w:r>
      <w:r w:rsidR="009B79A0" w:rsidRPr="001D3374">
        <w:rPr>
          <w:rFonts w:ascii="Arial Narrow" w:hAnsi="Arial Narrow"/>
          <w:color w:val="000000" w:themeColor="text1"/>
          <w:sz w:val="24"/>
          <w:szCs w:val="24"/>
        </w:rPr>
        <w:t xml:space="preserve">. </w:t>
      </w:r>
    </w:p>
    <w:p w:rsidR="00CA289B" w:rsidRPr="001D3374" w:rsidRDefault="00FF6903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По отношение на </w:t>
      </w:r>
      <w:r w:rsidRPr="001D3374">
        <w:rPr>
          <w:rFonts w:ascii="Arial Narrow" w:hAnsi="Arial Narrow"/>
          <w:b/>
          <w:color w:val="000000" w:themeColor="text1"/>
          <w:sz w:val="24"/>
          <w:szCs w:val="24"/>
        </w:rPr>
        <w:t>персонала</w:t>
      </w:r>
      <w:r w:rsidR="00D0154E" w:rsidRPr="001D3374">
        <w:rPr>
          <w:rFonts w:ascii="Arial Narrow" w:hAnsi="Arial Narrow"/>
          <w:color w:val="000000" w:themeColor="text1"/>
          <w:sz w:val="24"/>
          <w:szCs w:val="24"/>
        </w:rPr>
        <w:t xml:space="preserve">, </w:t>
      </w:r>
      <w:r w:rsidR="00B316D0" w:rsidRPr="001D3374">
        <w:rPr>
          <w:rFonts w:ascii="Arial Narrow" w:hAnsi="Arial Narrow"/>
          <w:color w:val="000000" w:themeColor="text1"/>
          <w:sz w:val="24"/>
          <w:szCs w:val="24"/>
        </w:rPr>
        <w:t xml:space="preserve">фирмите, които са наели нови служители </w:t>
      </w:r>
      <w:r w:rsidR="00C9544E" w:rsidRPr="001D3374">
        <w:rPr>
          <w:rFonts w:ascii="Arial Narrow" w:hAnsi="Arial Narrow"/>
          <w:color w:val="000000" w:themeColor="text1"/>
          <w:sz w:val="24"/>
          <w:szCs w:val="24"/>
        </w:rPr>
        <w:t xml:space="preserve">достигат 13% (с 3% повече от 2015 г.). Като близо 1/5 от анкетираните са увеличили заплатите на своите колеги (19%). Това е най-високата цифра от 2013 г. насам. </w:t>
      </w:r>
    </w:p>
    <w:p w:rsidR="00861F38" w:rsidRDefault="00C9544E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П</w:t>
      </w:r>
      <w:r w:rsidR="00285FD3" w:rsidRPr="001D3374">
        <w:rPr>
          <w:rFonts w:ascii="Arial Narrow" w:hAnsi="Arial Narrow"/>
          <w:color w:val="000000" w:themeColor="text1"/>
          <w:sz w:val="24"/>
          <w:szCs w:val="24"/>
        </w:rPr>
        <w:t>редприели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те</w:t>
      </w:r>
      <w:r w:rsidR="00285FD3" w:rsidRPr="001D3374">
        <w:rPr>
          <w:rFonts w:ascii="Arial Narrow" w:hAnsi="Arial Narrow"/>
          <w:color w:val="000000" w:themeColor="text1"/>
          <w:sz w:val="24"/>
          <w:szCs w:val="24"/>
        </w:rPr>
        <w:t xml:space="preserve"> съкращения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възлизат на 9% от анкетираните</w:t>
      </w:r>
      <w:r w:rsidR="00285FD3" w:rsidRPr="001D3374">
        <w:rPr>
          <w:rFonts w:ascii="Arial Narrow" w:hAnsi="Arial Narrow"/>
          <w:color w:val="000000" w:themeColor="text1"/>
          <w:sz w:val="24"/>
          <w:szCs w:val="24"/>
        </w:rPr>
        <w:t xml:space="preserve">, което би могло да означава, че няма съществени промени в кадровото състояние на дружествата.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Като антикризисна мярка с цел запазване на персонал се разчитат и 2% намаление на </w:t>
      </w:r>
      <w:r w:rsidR="00285FD3" w:rsidRPr="001D3374">
        <w:rPr>
          <w:rFonts w:ascii="Arial Narrow" w:hAnsi="Arial Narrow"/>
          <w:color w:val="000000" w:themeColor="text1"/>
          <w:sz w:val="24"/>
          <w:szCs w:val="24"/>
        </w:rPr>
        <w:t>зап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латите на служителите си.</w:t>
      </w:r>
    </w:p>
    <w:p w:rsidR="00AA3C6D" w:rsidRDefault="00AA3C6D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</w:p>
    <w:p w:rsidR="00AA3C6D" w:rsidRDefault="00AA3C6D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  <w:r>
        <w:rPr>
          <w:noProof/>
          <w:lang w:eastAsia="bg-BG"/>
        </w:rPr>
        <w:drawing>
          <wp:inline distT="0" distB="0" distL="0" distR="0" wp14:anchorId="19B149A1" wp14:editId="5B202380">
            <wp:extent cx="5895975" cy="3286125"/>
            <wp:effectExtent l="0" t="0" r="9525" b="952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2825" w:rsidRPr="001D3374" w:rsidRDefault="005E2825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</w:p>
    <w:p w:rsidR="00BD3E03" w:rsidRPr="00E768D5" w:rsidRDefault="00634992" w:rsidP="00E768D5">
      <w:pPr>
        <w:pStyle w:val="Heading2"/>
      </w:pPr>
      <w:bookmarkStart w:id="11" w:name="_Toc453060448"/>
      <w:r>
        <w:t>Структура на и</w:t>
      </w:r>
      <w:r w:rsidR="00BD3E03" w:rsidRPr="00E768D5">
        <w:t>нвестиции</w:t>
      </w:r>
      <w:r>
        <w:t>те</w:t>
      </w:r>
      <w:bookmarkEnd w:id="11"/>
    </w:p>
    <w:p w:rsidR="0039745D" w:rsidRPr="001D3374" w:rsidRDefault="0006585D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По отношение на </w:t>
      </w:r>
      <w:r w:rsidRPr="001D3374">
        <w:rPr>
          <w:rFonts w:ascii="Arial Narrow" w:hAnsi="Arial Narrow"/>
          <w:b/>
          <w:color w:val="000000" w:themeColor="text1"/>
          <w:sz w:val="24"/>
          <w:szCs w:val="24"/>
        </w:rPr>
        <w:t>структурата на направените инвестиции</w:t>
      </w:r>
      <w:r w:rsidR="006A7C56" w:rsidRPr="00E768D5">
        <w:rPr>
          <w:rFonts w:ascii="Arial Narrow" w:hAnsi="Arial Narrow"/>
          <w:color w:val="000000" w:themeColor="text1"/>
          <w:sz w:val="24"/>
          <w:szCs w:val="24"/>
        </w:rPr>
        <w:t xml:space="preserve">, няма съществени промени от 2013 г. </w:t>
      </w:r>
      <w:r w:rsidR="00634992">
        <w:rPr>
          <w:rFonts w:ascii="Arial Narrow" w:hAnsi="Arial Narrow"/>
          <w:color w:val="000000" w:themeColor="text1"/>
          <w:sz w:val="24"/>
          <w:szCs w:val="24"/>
        </w:rPr>
        <w:t xml:space="preserve">насам. </w:t>
      </w:r>
      <w:r w:rsidR="0039745D" w:rsidRPr="00E768D5">
        <w:rPr>
          <w:rFonts w:ascii="Arial Narrow" w:hAnsi="Arial Narrow"/>
          <w:color w:val="000000" w:themeColor="text1"/>
          <w:sz w:val="24"/>
          <w:szCs w:val="24"/>
        </w:rPr>
        <w:t xml:space="preserve">Компаниите от бранша са инвестирали в </w:t>
      </w:r>
      <w:r w:rsidR="0039745D" w:rsidRPr="00E768D5">
        <w:rPr>
          <w:rFonts w:ascii="Arial Narrow" w:hAnsi="Arial Narrow"/>
          <w:i/>
          <w:color w:val="000000" w:themeColor="text1"/>
          <w:sz w:val="24"/>
          <w:szCs w:val="24"/>
        </w:rPr>
        <w:t>ново оборудване</w:t>
      </w:r>
      <w:r w:rsidR="0039745D" w:rsidRPr="00E768D5">
        <w:rPr>
          <w:rFonts w:ascii="Arial Narrow" w:hAnsi="Arial Narrow"/>
          <w:color w:val="000000" w:themeColor="text1"/>
          <w:sz w:val="24"/>
          <w:szCs w:val="24"/>
        </w:rPr>
        <w:t xml:space="preserve"> (18% -</w:t>
      </w:r>
      <w:r w:rsidR="0039745D" w:rsidRPr="001D3374">
        <w:rPr>
          <w:rFonts w:ascii="Arial Narrow" w:hAnsi="Arial Narrow"/>
          <w:color w:val="000000" w:themeColor="text1"/>
          <w:sz w:val="24"/>
          <w:szCs w:val="24"/>
        </w:rPr>
        <w:t xml:space="preserve"> непроменен спрямо 2015 и 2014 г.), </w:t>
      </w:r>
      <w:r w:rsidR="0039745D" w:rsidRPr="001D3374">
        <w:rPr>
          <w:rFonts w:ascii="Arial Narrow" w:hAnsi="Arial Narrow"/>
          <w:i/>
          <w:color w:val="000000" w:themeColor="text1"/>
          <w:sz w:val="24"/>
          <w:szCs w:val="24"/>
        </w:rPr>
        <w:t>повишаване квалификацията на персонала</w:t>
      </w:r>
      <w:r w:rsidR="0039745D" w:rsidRPr="001D3374">
        <w:rPr>
          <w:rFonts w:ascii="Arial Narrow" w:hAnsi="Arial Narrow"/>
          <w:color w:val="000000" w:themeColor="text1"/>
          <w:sz w:val="24"/>
          <w:szCs w:val="24"/>
        </w:rPr>
        <w:t xml:space="preserve"> (19% - най-висок от последните 2 години), подобряване</w:t>
      </w:r>
      <w:r w:rsidR="0039745D" w:rsidRPr="001D3374">
        <w:rPr>
          <w:rFonts w:ascii="Arial Narrow" w:hAnsi="Arial Narrow"/>
          <w:i/>
          <w:color w:val="000000" w:themeColor="text1"/>
          <w:sz w:val="24"/>
          <w:szCs w:val="24"/>
        </w:rPr>
        <w:t xml:space="preserve"> условията на труд</w:t>
      </w:r>
      <w:r w:rsidR="0039745D" w:rsidRPr="001D3374">
        <w:rPr>
          <w:rFonts w:ascii="Arial Narrow" w:hAnsi="Arial Narrow"/>
          <w:color w:val="000000" w:themeColor="text1"/>
          <w:sz w:val="24"/>
          <w:szCs w:val="24"/>
        </w:rPr>
        <w:t xml:space="preserve"> (16% - с 5% по-малко от 2015 г. и 2014 г.), и в </w:t>
      </w:r>
      <w:r w:rsidR="0039745D" w:rsidRPr="001D3374">
        <w:rPr>
          <w:rFonts w:ascii="Arial Narrow" w:hAnsi="Arial Narrow"/>
          <w:i/>
          <w:color w:val="000000" w:themeColor="text1"/>
          <w:sz w:val="24"/>
          <w:szCs w:val="24"/>
        </w:rPr>
        <w:t>опазване на околната среда</w:t>
      </w:r>
      <w:r w:rsidR="0039745D" w:rsidRPr="001D3374">
        <w:rPr>
          <w:rFonts w:ascii="Arial Narrow" w:hAnsi="Arial Narrow"/>
          <w:color w:val="000000" w:themeColor="text1"/>
          <w:sz w:val="24"/>
          <w:szCs w:val="24"/>
        </w:rPr>
        <w:t xml:space="preserve"> (12%, което е най-високият процент от последните 2 г.)</w:t>
      </w:r>
    </w:p>
    <w:p w:rsidR="0039745D" w:rsidRPr="001D3374" w:rsidRDefault="0039745D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Обновяването в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технологично отношение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(10%), в т.ч. и внедряване на иновации и повишаване на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енергийната ефективност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(8%), показват стабилният тренд в бранша за търсене на нови решения за повишаване на конкурентоспособността и намаляване на екологичния отпечатък на компаниите. </w:t>
      </w:r>
    </w:p>
    <w:p w:rsidR="0039745D" w:rsidRPr="001D3374" w:rsidRDefault="0039745D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lastRenderedPageBreak/>
        <w:t xml:space="preserve">През 2015 г. само 5% от отговорилите са успели да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разширят своето производство.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Което е в обратна зависимост към отговорилите, че 2015 г. е била успешна за тях и са у</w:t>
      </w:r>
      <w:r w:rsidR="00E768D5">
        <w:rPr>
          <w:rFonts w:ascii="Arial Narrow" w:hAnsi="Arial Narrow"/>
          <w:color w:val="000000" w:themeColor="text1"/>
          <w:sz w:val="24"/>
          <w:szCs w:val="24"/>
        </w:rPr>
        <w:t xml:space="preserve">величили производството </w:t>
      </w:r>
      <w:r w:rsidR="00E768D5" w:rsidRPr="00E768D5">
        <w:rPr>
          <w:rFonts w:ascii="Arial Narrow" w:hAnsi="Arial Narrow"/>
          <w:color w:val="000000" w:themeColor="text1"/>
          <w:sz w:val="24"/>
          <w:szCs w:val="24"/>
        </w:rPr>
        <w:t>(19%</w:t>
      </w:r>
      <w:r w:rsidRPr="00E768D5">
        <w:rPr>
          <w:rFonts w:ascii="Arial Narrow" w:hAnsi="Arial Narrow"/>
          <w:color w:val="000000" w:themeColor="text1"/>
          <w:sz w:val="24"/>
          <w:szCs w:val="24"/>
        </w:rPr>
        <w:t>)</w:t>
      </w:r>
      <w:r w:rsidR="00D03EFD" w:rsidRPr="00E768D5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D03EFD" w:rsidRPr="001D3374" w:rsidRDefault="00D03EFD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От друга страна 8% от компаниите са успели да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разширят своята външно-търговска дейност</w:t>
      </w:r>
      <w:r w:rsidR="00BD3E03" w:rsidRPr="001D3374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3549AA" w:rsidRPr="001D3374" w:rsidRDefault="005E2825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  <w:r>
        <w:rPr>
          <w:noProof/>
          <w:lang w:eastAsia="bg-BG"/>
        </w:rPr>
        <w:drawing>
          <wp:inline distT="0" distB="0" distL="0" distR="0" wp14:anchorId="6EB05B97" wp14:editId="541986DB">
            <wp:extent cx="5686425" cy="3943350"/>
            <wp:effectExtent l="0" t="0" r="952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41AAA" w:rsidRDefault="00F41AAA" w:rsidP="00E768D5">
      <w:pPr>
        <w:pStyle w:val="Heading2"/>
      </w:pPr>
    </w:p>
    <w:p w:rsidR="00BD3E03" w:rsidRDefault="00BD3E03" w:rsidP="00E768D5">
      <w:pPr>
        <w:pStyle w:val="Heading2"/>
      </w:pPr>
      <w:bookmarkStart w:id="12" w:name="_Toc453060449"/>
      <w:r w:rsidRPr="00E768D5">
        <w:t>Проблемни зони</w:t>
      </w:r>
      <w:bookmarkEnd w:id="12"/>
    </w:p>
    <w:p w:rsidR="002769D4" w:rsidRPr="001D3374" w:rsidRDefault="00FB0C88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За поредна година водещо място сред </w:t>
      </w:r>
      <w:r w:rsidR="00A626E6" w:rsidRPr="001D3374">
        <w:rPr>
          <w:rFonts w:ascii="Arial Narrow" w:hAnsi="Arial Narrow"/>
          <w:b/>
          <w:color w:val="000000" w:themeColor="text1"/>
          <w:sz w:val="24"/>
          <w:szCs w:val="24"/>
        </w:rPr>
        <w:t>основни</w:t>
      </w:r>
      <w:r w:rsidRPr="001D3374">
        <w:rPr>
          <w:rFonts w:ascii="Arial Narrow" w:hAnsi="Arial Narrow"/>
          <w:b/>
          <w:color w:val="000000" w:themeColor="text1"/>
          <w:sz w:val="24"/>
          <w:szCs w:val="24"/>
        </w:rPr>
        <w:t>те</w:t>
      </w:r>
      <w:r w:rsidR="00A626E6" w:rsidRPr="001D3374">
        <w:rPr>
          <w:rFonts w:ascii="Arial Narrow" w:hAnsi="Arial Narrow"/>
          <w:b/>
          <w:color w:val="000000" w:themeColor="text1"/>
          <w:sz w:val="24"/>
          <w:szCs w:val="24"/>
        </w:rPr>
        <w:t xml:space="preserve"> проблеми</w:t>
      </w:r>
      <w:r w:rsidR="00A626E6" w:rsidRPr="001D3374">
        <w:rPr>
          <w:rFonts w:ascii="Arial Narrow" w:hAnsi="Arial Narrow"/>
          <w:color w:val="000000" w:themeColor="text1"/>
          <w:sz w:val="24"/>
          <w:szCs w:val="24"/>
        </w:rPr>
        <w:t>, с които са се сблъсквали повечето</w:t>
      </w:r>
      <w:r w:rsidR="00E768D5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proofErr w:type="spellStart"/>
      <w:r w:rsidR="00E768D5">
        <w:rPr>
          <w:rFonts w:ascii="Arial Narrow" w:hAnsi="Arial Narrow"/>
          <w:color w:val="000000" w:themeColor="text1"/>
          <w:sz w:val="24"/>
          <w:szCs w:val="24"/>
        </w:rPr>
        <w:t>добивни</w:t>
      </w:r>
      <w:proofErr w:type="spellEnd"/>
      <w:r w:rsidR="00E768D5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A626E6" w:rsidRPr="001D3374">
        <w:rPr>
          <w:rFonts w:ascii="Arial Narrow" w:hAnsi="Arial Narrow"/>
          <w:color w:val="000000" w:themeColor="text1"/>
          <w:sz w:val="24"/>
          <w:szCs w:val="24"/>
        </w:rPr>
        <w:t>компании през 201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5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 г.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са </w:t>
      </w:r>
      <w:r w:rsidR="00F52448" w:rsidRPr="00E768D5">
        <w:rPr>
          <w:rFonts w:ascii="Arial Narrow" w:hAnsi="Arial Narrow"/>
          <w:b/>
          <w:color w:val="000000" w:themeColor="text1"/>
          <w:sz w:val="24"/>
          <w:szCs w:val="24"/>
        </w:rPr>
        <w:t>неефективност на държавните институции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 (</w:t>
      </w:r>
      <w:r w:rsidR="002769D4" w:rsidRPr="001D3374">
        <w:rPr>
          <w:rFonts w:ascii="Arial Narrow" w:hAnsi="Arial Narrow"/>
          <w:color w:val="000000" w:themeColor="text1"/>
          <w:sz w:val="24"/>
          <w:szCs w:val="24"/>
        </w:rPr>
        <w:t>18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%) и </w:t>
      </w:r>
      <w:r w:rsidR="002E58E8" w:rsidRPr="00E768D5">
        <w:rPr>
          <w:rFonts w:ascii="Arial Narrow" w:hAnsi="Arial Narrow"/>
          <w:b/>
          <w:color w:val="000000" w:themeColor="text1"/>
          <w:sz w:val="24"/>
          <w:szCs w:val="24"/>
        </w:rPr>
        <w:t xml:space="preserve">мудност </w:t>
      </w:r>
      <w:r w:rsidR="00F52448" w:rsidRPr="00E768D5">
        <w:rPr>
          <w:rFonts w:ascii="Arial Narrow" w:hAnsi="Arial Narrow"/>
          <w:b/>
          <w:color w:val="000000" w:themeColor="text1"/>
          <w:sz w:val="24"/>
          <w:szCs w:val="24"/>
        </w:rPr>
        <w:t>в работата на администрацията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 (</w:t>
      </w:r>
      <w:r w:rsidR="002769D4" w:rsidRPr="001D3374">
        <w:rPr>
          <w:rFonts w:ascii="Arial Narrow" w:hAnsi="Arial Narrow"/>
          <w:color w:val="000000" w:themeColor="text1"/>
          <w:sz w:val="24"/>
          <w:szCs w:val="24"/>
        </w:rPr>
        <w:t>19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%). Следват ги отново </w:t>
      </w:r>
      <w:r w:rsidR="00F52448" w:rsidRPr="001D3374">
        <w:rPr>
          <w:rFonts w:ascii="Arial Narrow" w:hAnsi="Arial Narrow"/>
          <w:i/>
          <w:color w:val="000000" w:themeColor="text1"/>
          <w:sz w:val="24"/>
          <w:szCs w:val="24"/>
        </w:rPr>
        <w:t>нелоялната к</w:t>
      </w:r>
      <w:r w:rsidR="00F015BD" w:rsidRPr="001D3374">
        <w:rPr>
          <w:rFonts w:ascii="Arial Narrow" w:hAnsi="Arial Narrow"/>
          <w:i/>
          <w:color w:val="000000" w:themeColor="text1"/>
          <w:sz w:val="24"/>
          <w:szCs w:val="24"/>
        </w:rPr>
        <w:t xml:space="preserve">онкуренция от сивия сектор 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>(</w:t>
      </w:r>
      <w:r w:rsidR="002769D4" w:rsidRPr="001D3374">
        <w:rPr>
          <w:rFonts w:ascii="Arial Narrow" w:hAnsi="Arial Narrow"/>
          <w:color w:val="000000" w:themeColor="text1"/>
          <w:sz w:val="24"/>
          <w:szCs w:val="24"/>
        </w:rPr>
        <w:t>15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%) и </w:t>
      </w:r>
      <w:r w:rsidR="00F52448" w:rsidRPr="001D3374">
        <w:rPr>
          <w:rFonts w:ascii="Arial Narrow" w:hAnsi="Arial Narrow"/>
          <w:i/>
          <w:color w:val="000000" w:themeColor="text1"/>
          <w:sz w:val="24"/>
          <w:szCs w:val="24"/>
        </w:rPr>
        <w:t>последиците от финансовата и икономическа криза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 xml:space="preserve"> (</w:t>
      </w:r>
      <w:r w:rsidR="002769D4" w:rsidRPr="001D3374">
        <w:rPr>
          <w:rFonts w:ascii="Arial Narrow" w:hAnsi="Arial Narrow"/>
          <w:color w:val="000000" w:themeColor="text1"/>
          <w:sz w:val="24"/>
          <w:szCs w:val="24"/>
        </w:rPr>
        <w:t>11</w:t>
      </w:r>
      <w:r w:rsidR="00F52448" w:rsidRPr="001D3374">
        <w:rPr>
          <w:rFonts w:ascii="Arial Narrow" w:hAnsi="Arial Narrow"/>
          <w:color w:val="000000" w:themeColor="text1"/>
          <w:sz w:val="24"/>
          <w:szCs w:val="24"/>
        </w:rPr>
        <w:t>%).</w:t>
      </w:r>
      <w:r w:rsidR="00F52448" w:rsidRPr="001D3374">
        <w:rPr>
          <w:rFonts w:ascii="Arial Narrow" w:hAnsi="Arial Narrow"/>
          <w:color w:val="FF0000"/>
          <w:sz w:val="24"/>
          <w:szCs w:val="24"/>
        </w:rPr>
        <w:t xml:space="preserve"> </w:t>
      </w:r>
    </w:p>
    <w:p w:rsidR="00F41AAA" w:rsidRPr="00F41AAA" w:rsidRDefault="002769D4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Особеностите на бизнес средата са отговорите за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невъзможност за събиране на вземания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(8%, намаление с 3% спрямо 2015 г.),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затруднен достъп до финансиране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(5%, увеличение с 1% спрямо 2015 г.) и </w:t>
      </w:r>
      <w:r w:rsidRPr="001D3374">
        <w:rPr>
          <w:rFonts w:ascii="Arial Narrow" w:hAnsi="Arial Narrow"/>
          <w:i/>
          <w:color w:val="000000" w:themeColor="text1"/>
          <w:sz w:val="24"/>
          <w:szCs w:val="24"/>
        </w:rPr>
        <w:t>проблеми с реализация на продукцията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(1%). Причини за тях не са посочени. Изводите от тук може да са, че </w:t>
      </w:r>
      <w:r w:rsidR="00BD3E03" w:rsidRPr="001D3374">
        <w:rPr>
          <w:rFonts w:ascii="Arial Narrow" w:hAnsi="Arial Narrow"/>
          <w:color w:val="000000" w:themeColor="text1"/>
          <w:sz w:val="24"/>
          <w:szCs w:val="24"/>
        </w:rPr>
        <w:t xml:space="preserve">макар да намалява броя на компаниите, които доставят, а не им се плаща изцяло, </w:t>
      </w:r>
      <w:r w:rsidR="00F41AAA">
        <w:rPr>
          <w:rFonts w:ascii="Arial Narrow" w:hAnsi="Arial Narrow"/>
          <w:color w:val="000000" w:themeColor="text1"/>
          <w:sz w:val="24"/>
          <w:szCs w:val="24"/>
        </w:rPr>
        <w:t>все още и</w:t>
      </w:r>
      <w:r w:rsidR="00F41AAA" w:rsidRPr="00F41AAA">
        <w:rPr>
          <w:rFonts w:ascii="Arial Narrow" w:hAnsi="Arial Narrow"/>
          <w:color w:val="000000" w:themeColor="text1"/>
          <w:sz w:val="24"/>
          <w:szCs w:val="24"/>
        </w:rPr>
        <w:t xml:space="preserve">ма неизчистени задължения. </w:t>
      </w:r>
    </w:p>
    <w:p w:rsidR="00F41AAA" w:rsidRPr="00F41AAA" w:rsidRDefault="00F41AAA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F41AAA">
        <w:rPr>
          <w:rFonts w:ascii="Arial Narrow" w:hAnsi="Arial Narrow"/>
          <w:color w:val="000000" w:themeColor="text1"/>
          <w:sz w:val="24"/>
          <w:szCs w:val="24"/>
        </w:rPr>
        <w:t xml:space="preserve">Пример в това отношение е „Мини Марица-изток“ ЕАД – държавната въгледобивна компания, която </w:t>
      </w:r>
      <w:r w:rsidR="00F13E3A" w:rsidRPr="00F41AAA">
        <w:rPr>
          <w:rFonts w:ascii="Arial Narrow" w:hAnsi="Arial Narrow"/>
          <w:color w:val="000000" w:themeColor="text1"/>
          <w:sz w:val="24"/>
          <w:szCs w:val="24"/>
        </w:rPr>
        <w:t>страда</w:t>
      </w:r>
      <w:r w:rsidRPr="00F41AAA">
        <w:rPr>
          <w:rFonts w:ascii="Arial Narrow" w:hAnsi="Arial Narrow"/>
          <w:color w:val="000000" w:themeColor="text1"/>
          <w:sz w:val="24"/>
          <w:szCs w:val="24"/>
        </w:rPr>
        <w:t>ше</w:t>
      </w:r>
      <w:r w:rsidR="00F13E3A" w:rsidRPr="00F41AAA">
        <w:rPr>
          <w:rFonts w:ascii="Arial Narrow" w:hAnsi="Arial Narrow"/>
          <w:color w:val="000000" w:themeColor="text1"/>
          <w:sz w:val="24"/>
          <w:szCs w:val="24"/>
        </w:rPr>
        <w:t xml:space="preserve"> от хроничен недостиг на ликвидност </w:t>
      </w:r>
      <w:r w:rsidRPr="00F41AAA">
        <w:rPr>
          <w:rFonts w:ascii="Arial Narrow" w:hAnsi="Arial Narrow"/>
          <w:color w:val="000000" w:themeColor="text1"/>
          <w:sz w:val="24"/>
          <w:szCs w:val="24"/>
        </w:rPr>
        <w:t xml:space="preserve">през последните 2-3 години. Това се дължеше на </w:t>
      </w:r>
      <w:r w:rsidR="00F13E3A" w:rsidRPr="00F41AAA">
        <w:rPr>
          <w:rFonts w:ascii="Arial Narrow" w:hAnsi="Arial Narrow"/>
          <w:color w:val="000000" w:themeColor="text1"/>
          <w:sz w:val="24"/>
          <w:szCs w:val="24"/>
        </w:rPr>
        <w:t xml:space="preserve">забавените или спрени плащания от т.нар. американски ТЕЦ-ове. </w:t>
      </w:r>
    </w:p>
    <w:p w:rsidR="002769D4" w:rsidRPr="001D3374" w:rsidRDefault="00F41AAA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F41AAA">
        <w:rPr>
          <w:rFonts w:ascii="Arial Narrow" w:hAnsi="Arial Narrow"/>
          <w:color w:val="000000" w:themeColor="text1"/>
          <w:sz w:val="24"/>
          <w:szCs w:val="24"/>
        </w:rPr>
        <w:t xml:space="preserve">Задлъжнялостта на компаниите и процентът несъбрани вземания е </w:t>
      </w:r>
      <w:r w:rsidR="00BD3E03" w:rsidRPr="00F41AAA">
        <w:rPr>
          <w:rFonts w:ascii="Arial Narrow" w:hAnsi="Arial Narrow"/>
          <w:color w:val="000000" w:themeColor="text1"/>
          <w:sz w:val="24"/>
          <w:szCs w:val="24"/>
        </w:rPr>
        <w:t>показател</w:t>
      </w:r>
      <w:r w:rsidRPr="00F41AAA">
        <w:rPr>
          <w:rFonts w:ascii="Arial Narrow" w:hAnsi="Arial Narrow"/>
          <w:color w:val="000000" w:themeColor="text1"/>
          <w:sz w:val="24"/>
          <w:szCs w:val="24"/>
        </w:rPr>
        <w:t xml:space="preserve">, който </w:t>
      </w:r>
      <w:r w:rsidR="00BD3E03" w:rsidRPr="00F41AAA">
        <w:rPr>
          <w:rFonts w:ascii="Arial Narrow" w:hAnsi="Arial Narrow"/>
          <w:color w:val="000000" w:themeColor="text1"/>
          <w:sz w:val="24"/>
          <w:szCs w:val="24"/>
        </w:rPr>
        <w:t xml:space="preserve">трябва </w:t>
      </w:r>
      <w:r w:rsidRPr="00F41AAA">
        <w:rPr>
          <w:rFonts w:ascii="Arial Narrow" w:hAnsi="Arial Narrow"/>
          <w:color w:val="000000" w:themeColor="text1"/>
          <w:sz w:val="24"/>
          <w:szCs w:val="24"/>
        </w:rPr>
        <w:t xml:space="preserve">да се следи, защото той показва в каква степен компаниите могат да устоят при ниска или нулева ликвидност. Което повишава нивото на финансов риск и на способностите им да оцеляват. Интересен е фактът, че </w:t>
      </w:r>
      <w:r w:rsidR="00BD3E03" w:rsidRPr="00F41AAA">
        <w:rPr>
          <w:rFonts w:ascii="Arial Narrow" w:hAnsi="Arial Narrow"/>
          <w:color w:val="000000" w:themeColor="text1"/>
          <w:sz w:val="24"/>
          <w:szCs w:val="24"/>
        </w:rPr>
        <w:t xml:space="preserve">логистичните компании доставят оборудване както за </w:t>
      </w:r>
      <w:proofErr w:type="spellStart"/>
      <w:r w:rsidR="00BD3E03" w:rsidRPr="00F41AAA">
        <w:rPr>
          <w:rFonts w:ascii="Arial Narrow" w:hAnsi="Arial Narrow"/>
          <w:color w:val="000000" w:themeColor="text1"/>
          <w:sz w:val="24"/>
          <w:szCs w:val="24"/>
        </w:rPr>
        <w:t>добивни</w:t>
      </w:r>
      <w:proofErr w:type="spellEnd"/>
      <w:r w:rsidR="00BD3E03" w:rsidRPr="00F41AAA">
        <w:rPr>
          <w:rFonts w:ascii="Arial Narrow" w:hAnsi="Arial Narrow"/>
          <w:color w:val="000000" w:themeColor="text1"/>
          <w:sz w:val="24"/>
          <w:szCs w:val="24"/>
        </w:rPr>
        <w:t>, така и за строителни, преработвателни и т.н. компании.</w:t>
      </w:r>
      <w:r w:rsidRPr="00F41AAA">
        <w:rPr>
          <w:rFonts w:ascii="Arial Narrow" w:hAnsi="Arial Narrow"/>
          <w:color w:val="000000" w:themeColor="text1"/>
          <w:sz w:val="24"/>
          <w:szCs w:val="24"/>
        </w:rPr>
        <w:t xml:space="preserve"> Така че при несъбрани вземания, влияние оказват и други браншове.</w:t>
      </w:r>
    </w:p>
    <w:p w:rsidR="00FB0C88" w:rsidRPr="001D3374" w:rsidRDefault="00597F87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3A3625">
        <w:rPr>
          <w:b/>
          <w:noProof/>
          <w:color w:val="00B050"/>
          <w:lang w:eastAsia="bg-BG"/>
        </w:rPr>
        <w:lastRenderedPageBreak/>
        <w:drawing>
          <wp:inline distT="0" distB="0" distL="0" distR="0" wp14:anchorId="7BA39894" wp14:editId="4E2172C8">
            <wp:extent cx="5760720" cy="5114925"/>
            <wp:effectExtent l="0" t="0" r="11430" b="952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97F87" w:rsidRDefault="00597F87" w:rsidP="00E768D5">
      <w:pPr>
        <w:pStyle w:val="Heading2"/>
      </w:pPr>
    </w:p>
    <w:p w:rsidR="00BD3E03" w:rsidRPr="00E768D5" w:rsidRDefault="00BD3E03" w:rsidP="00E768D5">
      <w:pPr>
        <w:pStyle w:val="Heading2"/>
      </w:pPr>
      <w:bookmarkStart w:id="13" w:name="_Toc453060450"/>
      <w:r w:rsidRPr="00E768D5">
        <w:t>Корупция</w:t>
      </w:r>
      <w:bookmarkEnd w:id="13"/>
    </w:p>
    <w:p w:rsidR="000C5FD5" w:rsidRPr="001D3374" w:rsidRDefault="00DA4BFC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>Д</w:t>
      </w:r>
      <w:r w:rsidR="007B74A1" w:rsidRPr="001D3374">
        <w:rPr>
          <w:rFonts w:ascii="Arial Narrow" w:hAnsi="Arial Narrow"/>
          <w:color w:val="000000" w:themeColor="text1"/>
          <w:sz w:val="24"/>
          <w:szCs w:val="24"/>
        </w:rPr>
        <w:t xml:space="preserve">елът на анкетираните компании, които са попадали в </w:t>
      </w:r>
      <w:r w:rsidR="007B74A1" w:rsidRPr="001D3374">
        <w:rPr>
          <w:rFonts w:ascii="Arial Narrow" w:hAnsi="Arial Narrow"/>
          <w:b/>
          <w:color w:val="000000" w:themeColor="text1"/>
          <w:sz w:val="24"/>
          <w:szCs w:val="24"/>
        </w:rPr>
        <w:t>к</w:t>
      </w:r>
      <w:r w:rsidR="004E368A" w:rsidRPr="001D3374">
        <w:rPr>
          <w:rFonts w:ascii="Arial Narrow" w:hAnsi="Arial Narrow"/>
          <w:b/>
          <w:color w:val="000000" w:themeColor="text1"/>
          <w:sz w:val="24"/>
          <w:szCs w:val="24"/>
        </w:rPr>
        <w:t>орупционни схеми</w:t>
      </w:r>
      <w:r w:rsidR="004E368A" w:rsidRPr="001D337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през 201</w:t>
      </w:r>
      <w:r w:rsidR="00BD3E03" w:rsidRPr="001D3374">
        <w:rPr>
          <w:rFonts w:ascii="Arial Narrow" w:hAnsi="Arial Narrow"/>
          <w:color w:val="000000" w:themeColor="text1"/>
          <w:sz w:val="24"/>
          <w:szCs w:val="24"/>
        </w:rPr>
        <w:t>5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 г. </w:t>
      </w:r>
      <w:r w:rsidR="00EA6885" w:rsidRPr="001D3374">
        <w:rPr>
          <w:rFonts w:ascii="Arial Narrow" w:hAnsi="Arial Narrow"/>
          <w:color w:val="000000" w:themeColor="text1"/>
          <w:sz w:val="24"/>
          <w:szCs w:val="24"/>
        </w:rPr>
        <w:t>(79%) е намалял спрямо 2014 г. (82%), но се е увеличил спрямо 2015 г. (74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%). </w:t>
      </w:r>
    </w:p>
    <w:p w:rsidR="00EC77FB" w:rsidRPr="001D3374" w:rsidRDefault="00BD3E03" w:rsidP="00E70D0B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  <w:r w:rsidRPr="001D3374">
        <w:rPr>
          <w:rFonts w:ascii="Arial Narrow" w:hAnsi="Arial Narrow"/>
          <w:noProof/>
          <w:sz w:val="24"/>
          <w:szCs w:val="24"/>
          <w:lang w:eastAsia="bg-BG"/>
        </w:rPr>
        <w:drawing>
          <wp:inline distT="0" distB="0" distL="0" distR="0" wp14:anchorId="473E46DE" wp14:editId="3B3185D2">
            <wp:extent cx="5876925" cy="2190750"/>
            <wp:effectExtent l="0" t="0" r="952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C5FD5" w:rsidRPr="001D3374" w:rsidRDefault="000C5FD5" w:rsidP="000C5FD5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</w:p>
    <w:p w:rsidR="000C5FD5" w:rsidRPr="001D3374" w:rsidRDefault="000C5FD5" w:rsidP="00E70D0B">
      <w:pPr>
        <w:spacing w:line="240" w:lineRule="auto"/>
        <w:jc w:val="both"/>
        <w:rPr>
          <w:rFonts w:ascii="Arial Narrow" w:hAnsi="Arial Narrow"/>
          <w:noProof/>
          <w:sz w:val="24"/>
          <w:szCs w:val="24"/>
          <w:lang w:eastAsia="bg-BG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lastRenderedPageBreak/>
        <w:t>Увеличението е главно в НПО-сектора (10%), като тук ръстът е 100% - през предходните години е нямало отчетен глас за тях. Като „стабилно“ се очертава корупционният натиск от страна на държавните, общинските и други източници (3% всеки). Не е заявен или не се наблюдава натиск от страна на областните администрации.</w:t>
      </w:r>
    </w:p>
    <w:p w:rsidR="007568A9" w:rsidRDefault="007E46D4" w:rsidP="00E70D0B">
      <w:pPr>
        <w:spacing w:line="240" w:lineRule="auto"/>
        <w:jc w:val="both"/>
        <w:rPr>
          <w:rFonts w:ascii="Arial Narrow" w:hAnsi="Arial Narrow"/>
          <w:noProof/>
          <w:sz w:val="24"/>
          <w:szCs w:val="24"/>
          <w:lang w:eastAsia="bg-BG"/>
        </w:rPr>
      </w:pPr>
      <w:r w:rsidRPr="001D3374">
        <w:rPr>
          <w:rFonts w:ascii="Arial Narrow" w:hAnsi="Arial Narrow"/>
          <w:noProof/>
          <w:sz w:val="24"/>
          <w:szCs w:val="24"/>
          <w:lang w:eastAsia="bg-BG"/>
        </w:rPr>
        <w:drawing>
          <wp:inline distT="0" distB="0" distL="0" distR="0" wp14:anchorId="75E79497" wp14:editId="503C53C0">
            <wp:extent cx="5876925" cy="2647950"/>
            <wp:effectExtent l="0" t="0" r="9525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5318A" w:rsidRPr="001D3374" w:rsidRDefault="00F5318A" w:rsidP="00DF44F1">
      <w:pPr>
        <w:pStyle w:val="Heading2"/>
      </w:pPr>
      <w:bookmarkStart w:id="14" w:name="_Toc453060451"/>
      <w:r w:rsidRPr="001D3374">
        <w:t>За анкетата</w:t>
      </w:r>
      <w:bookmarkEnd w:id="14"/>
    </w:p>
    <w:p w:rsidR="00F5318A" w:rsidRPr="001D3374" w:rsidRDefault="00F5318A" w:rsidP="00F5318A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На </w:t>
      </w:r>
      <w:r w:rsidRPr="001D3374">
        <w:rPr>
          <w:rFonts w:ascii="Arial Narrow" w:hAnsi="Arial Narrow"/>
          <w:color w:val="000000" w:themeColor="text1"/>
          <w:sz w:val="24"/>
          <w:szCs w:val="24"/>
          <w:lang w:val="en-US"/>
        </w:rPr>
        <w:t>1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4 април 2016 г. се състоя редовното годишно Общо събрание на Българската минно-геоложка камара, на което беше проведена традиционната анкета сред присъстващите представители на членовете на организацията. </w:t>
      </w:r>
    </w:p>
    <w:p w:rsidR="00597F87" w:rsidRDefault="00F5318A" w:rsidP="00E70D0B">
      <w:p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D3374">
        <w:rPr>
          <w:rFonts w:ascii="Arial Narrow" w:hAnsi="Arial Narrow"/>
          <w:color w:val="000000" w:themeColor="text1"/>
          <w:sz w:val="24"/>
          <w:szCs w:val="24"/>
        </w:rPr>
        <w:t xml:space="preserve">Анкетата </w:t>
      </w:r>
      <w:r w:rsidR="00E768D5">
        <w:rPr>
          <w:rFonts w:ascii="Arial Narrow" w:hAnsi="Arial Narrow"/>
          <w:color w:val="000000" w:themeColor="text1"/>
          <w:sz w:val="24"/>
          <w:szCs w:val="24"/>
        </w:rPr>
        <w:t xml:space="preserve">включи </w:t>
      </w:r>
      <w:r w:rsidRPr="001D3374">
        <w:rPr>
          <w:rFonts w:ascii="Arial Narrow" w:hAnsi="Arial Narrow"/>
          <w:color w:val="000000" w:themeColor="text1"/>
          <w:sz w:val="24"/>
          <w:szCs w:val="24"/>
        </w:rPr>
        <w:t>от три групи въпроси</w:t>
      </w:r>
      <w:r w:rsidR="00E768D5">
        <w:rPr>
          <w:rFonts w:ascii="Arial Narrow" w:hAnsi="Arial Narrow"/>
          <w:color w:val="000000" w:themeColor="text1"/>
          <w:sz w:val="24"/>
          <w:szCs w:val="24"/>
        </w:rPr>
        <w:t>:</w:t>
      </w:r>
    </w:p>
    <w:p w:rsidR="00597F87" w:rsidRPr="00597F87" w:rsidRDefault="00E768D5" w:rsidP="00597F87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noProof/>
          <w:sz w:val="24"/>
          <w:szCs w:val="24"/>
          <w:lang w:eastAsia="bg-BG"/>
        </w:rPr>
      </w:pPr>
      <w:r w:rsidRPr="00597F87">
        <w:rPr>
          <w:rFonts w:ascii="Arial Narrow" w:hAnsi="Arial Narrow"/>
          <w:color w:val="000000" w:themeColor="text1"/>
          <w:sz w:val="24"/>
          <w:szCs w:val="24"/>
        </w:rPr>
        <w:t>О</w:t>
      </w:r>
      <w:r w:rsidR="00F5318A" w:rsidRPr="00597F87">
        <w:rPr>
          <w:rFonts w:ascii="Arial Narrow" w:hAnsi="Arial Narrow"/>
          <w:color w:val="000000" w:themeColor="text1"/>
          <w:sz w:val="24"/>
          <w:szCs w:val="24"/>
        </w:rPr>
        <w:t>ценката на компаниите за бизнес климата в страната</w:t>
      </w:r>
      <w:r w:rsidRPr="00597F87">
        <w:rPr>
          <w:rFonts w:ascii="Arial Narrow" w:hAnsi="Arial Narrow"/>
          <w:color w:val="000000" w:themeColor="text1"/>
          <w:sz w:val="24"/>
          <w:szCs w:val="24"/>
        </w:rPr>
        <w:t xml:space="preserve"> за 2015 г.;</w:t>
      </w:r>
    </w:p>
    <w:p w:rsidR="00597F87" w:rsidRPr="00597F87" w:rsidRDefault="00E768D5" w:rsidP="00597F87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noProof/>
          <w:sz w:val="24"/>
          <w:szCs w:val="24"/>
          <w:lang w:eastAsia="bg-BG"/>
        </w:rPr>
      </w:pPr>
      <w:r w:rsidRPr="00597F87">
        <w:rPr>
          <w:rFonts w:ascii="Arial Narrow" w:hAnsi="Arial Narrow"/>
          <w:color w:val="000000" w:themeColor="text1"/>
          <w:sz w:val="24"/>
          <w:szCs w:val="24"/>
        </w:rPr>
        <w:t>О</w:t>
      </w:r>
      <w:r w:rsidR="00F5318A" w:rsidRPr="00597F87">
        <w:rPr>
          <w:rFonts w:ascii="Arial Narrow" w:hAnsi="Arial Narrow"/>
          <w:color w:val="000000" w:themeColor="text1"/>
          <w:sz w:val="24"/>
          <w:szCs w:val="24"/>
        </w:rPr>
        <w:t>чаквания</w:t>
      </w:r>
      <w:r w:rsidRPr="00597F87">
        <w:rPr>
          <w:rFonts w:ascii="Arial Narrow" w:hAnsi="Arial Narrow"/>
          <w:color w:val="000000" w:themeColor="text1"/>
          <w:sz w:val="24"/>
          <w:szCs w:val="24"/>
        </w:rPr>
        <w:t xml:space="preserve">та им за </w:t>
      </w:r>
      <w:r w:rsidR="00F5318A" w:rsidRPr="00597F87">
        <w:rPr>
          <w:rFonts w:ascii="Arial Narrow" w:hAnsi="Arial Narrow"/>
          <w:color w:val="000000" w:themeColor="text1"/>
          <w:sz w:val="24"/>
          <w:szCs w:val="24"/>
        </w:rPr>
        <w:t>2016 г.</w:t>
      </w:r>
      <w:r w:rsidRPr="00597F87">
        <w:rPr>
          <w:rFonts w:ascii="Arial Narrow" w:hAnsi="Arial Narrow"/>
          <w:color w:val="000000" w:themeColor="text1"/>
          <w:sz w:val="24"/>
          <w:szCs w:val="24"/>
        </w:rPr>
        <w:t xml:space="preserve">; </w:t>
      </w:r>
    </w:p>
    <w:p w:rsidR="00F5318A" w:rsidRPr="000360F6" w:rsidRDefault="009E7836" w:rsidP="00597F87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noProof/>
          <w:sz w:val="24"/>
          <w:szCs w:val="24"/>
          <w:lang w:eastAsia="bg-BG"/>
        </w:rPr>
      </w:pPr>
      <w:r w:rsidRPr="00597F87">
        <w:rPr>
          <w:rFonts w:ascii="Arial Narrow" w:hAnsi="Arial Narrow"/>
          <w:color w:val="000000" w:themeColor="text1"/>
          <w:sz w:val="24"/>
          <w:szCs w:val="24"/>
        </w:rPr>
        <w:t xml:space="preserve">Оценка </w:t>
      </w:r>
      <w:r w:rsidR="00F5318A" w:rsidRPr="00597F87">
        <w:rPr>
          <w:rFonts w:ascii="Arial Narrow" w:hAnsi="Arial Narrow"/>
          <w:color w:val="000000" w:themeColor="text1"/>
          <w:sz w:val="24"/>
          <w:szCs w:val="24"/>
        </w:rPr>
        <w:t>за дейността на БМГК през 2015 г.</w:t>
      </w:r>
      <w:r w:rsidR="00284F7B">
        <w:rPr>
          <w:rFonts w:ascii="Arial Narrow" w:hAnsi="Arial Narrow"/>
          <w:color w:val="000000" w:themeColor="text1"/>
          <w:sz w:val="24"/>
          <w:szCs w:val="24"/>
        </w:rPr>
        <w:t xml:space="preserve"> – информация за вътрешно на БМГК ползване.</w:t>
      </w:r>
    </w:p>
    <w:p w:rsidR="000360F6" w:rsidRDefault="000360F6" w:rsidP="000360F6">
      <w:pPr>
        <w:jc w:val="both"/>
        <w:rPr>
          <w:rFonts w:ascii="Arial Narrow" w:hAnsi="Arial Narrow"/>
          <w:b/>
          <w:sz w:val="28"/>
          <w:szCs w:val="28"/>
          <w:lang w:val="en-US"/>
        </w:rPr>
      </w:pPr>
    </w:p>
    <w:p w:rsidR="000360F6" w:rsidRPr="00D039DC" w:rsidRDefault="000360F6" w:rsidP="00DF44F1">
      <w:pPr>
        <w:pStyle w:val="Heading2"/>
        <w:rPr>
          <w:lang w:val="en-US"/>
        </w:rPr>
      </w:pPr>
      <w:bookmarkStart w:id="15" w:name="_Toc453060452"/>
      <w:proofErr w:type="spellStart"/>
      <w:r w:rsidRPr="00D039DC">
        <w:rPr>
          <w:lang w:val="en-US"/>
        </w:rPr>
        <w:t>За</w:t>
      </w:r>
      <w:proofErr w:type="spellEnd"/>
      <w:r w:rsidRPr="00D039DC">
        <w:rPr>
          <w:lang w:val="en-US"/>
        </w:rPr>
        <w:t xml:space="preserve"> </w:t>
      </w:r>
      <w:proofErr w:type="spellStart"/>
      <w:r w:rsidRPr="00D039DC">
        <w:rPr>
          <w:lang w:val="en-US"/>
        </w:rPr>
        <w:t>Българска</w:t>
      </w:r>
      <w:proofErr w:type="spellEnd"/>
      <w:r w:rsidRPr="00D039DC">
        <w:rPr>
          <w:lang w:val="en-US"/>
        </w:rPr>
        <w:t xml:space="preserve"> </w:t>
      </w:r>
      <w:proofErr w:type="spellStart"/>
      <w:r w:rsidRPr="00D039DC">
        <w:rPr>
          <w:lang w:val="en-US"/>
        </w:rPr>
        <w:t>минно-геоложка</w:t>
      </w:r>
      <w:proofErr w:type="spellEnd"/>
      <w:r w:rsidRPr="00D039DC">
        <w:rPr>
          <w:lang w:val="en-US"/>
        </w:rPr>
        <w:t xml:space="preserve"> </w:t>
      </w:r>
      <w:proofErr w:type="spellStart"/>
      <w:r w:rsidRPr="00D039DC">
        <w:rPr>
          <w:lang w:val="en-US"/>
        </w:rPr>
        <w:t>камара</w:t>
      </w:r>
      <w:bookmarkEnd w:id="15"/>
      <w:proofErr w:type="spellEnd"/>
    </w:p>
    <w:p w:rsidR="000360F6" w:rsidRPr="00F721BA" w:rsidRDefault="000360F6" w:rsidP="000360F6">
      <w:pPr>
        <w:jc w:val="both"/>
        <w:rPr>
          <w:rFonts w:ascii="Arial Narrow" w:hAnsi="Arial Narrow"/>
          <w:lang w:val="en-US"/>
        </w:rPr>
      </w:pPr>
      <w:proofErr w:type="spellStart"/>
      <w:r w:rsidRPr="00F721BA">
        <w:rPr>
          <w:rFonts w:ascii="Arial Narrow" w:hAnsi="Arial Narrow"/>
          <w:lang w:val="en-US"/>
        </w:rPr>
        <w:t>Българска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минно-геоложка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камара</w:t>
      </w:r>
      <w:proofErr w:type="spellEnd"/>
      <w:r w:rsidRPr="00F721BA">
        <w:rPr>
          <w:rFonts w:ascii="Arial Narrow" w:hAnsi="Arial Narrow"/>
          <w:lang w:val="en-US"/>
        </w:rPr>
        <w:t xml:space="preserve"> е </w:t>
      </w:r>
      <w:proofErr w:type="spellStart"/>
      <w:r w:rsidRPr="00F721BA">
        <w:rPr>
          <w:rFonts w:ascii="Arial Narrow" w:hAnsi="Arial Narrow"/>
          <w:lang w:val="en-US"/>
        </w:rPr>
        <w:t>учредена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09.08.1991 г. </w:t>
      </w:r>
      <w:proofErr w:type="spellStart"/>
      <w:r w:rsidRPr="00F721BA">
        <w:rPr>
          <w:rFonts w:ascii="Arial Narrow" w:hAnsi="Arial Narrow"/>
          <w:lang w:val="en-US"/>
        </w:rPr>
        <w:t>от</w:t>
      </w:r>
      <w:proofErr w:type="spellEnd"/>
      <w:r w:rsidRPr="00F721BA">
        <w:rPr>
          <w:rFonts w:ascii="Arial Narrow" w:hAnsi="Arial Narrow"/>
          <w:lang w:val="en-US"/>
        </w:rPr>
        <w:t xml:space="preserve"> 18 </w:t>
      </w:r>
      <w:proofErr w:type="spellStart"/>
      <w:r w:rsidRPr="00F721BA">
        <w:rPr>
          <w:rFonts w:ascii="Arial Narrow" w:hAnsi="Arial Narrow"/>
          <w:lang w:val="en-US"/>
        </w:rPr>
        <w:t>търговски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дружества</w:t>
      </w:r>
      <w:proofErr w:type="spellEnd"/>
      <w:r w:rsidRPr="00F721BA">
        <w:rPr>
          <w:rFonts w:ascii="Arial Narrow" w:hAnsi="Arial Narrow"/>
          <w:lang w:val="en-US"/>
        </w:rPr>
        <w:t xml:space="preserve">. </w:t>
      </w:r>
      <w:proofErr w:type="spellStart"/>
      <w:r w:rsidRPr="00F721BA">
        <w:rPr>
          <w:rFonts w:ascii="Arial Narrow" w:hAnsi="Arial Narrow"/>
          <w:lang w:val="en-US"/>
        </w:rPr>
        <w:t>Днес</w:t>
      </w:r>
      <w:proofErr w:type="spellEnd"/>
      <w:r w:rsidRPr="00F721BA">
        <w:rPr>
          <w:rFonts w:ascii="Arial Narrow" w:hAnsi="Arial Narrow"/>
          <w:lang w:val="en-US"/>
        </w:rPr>
        <w:t xml:space="preserve"> в </w:t>
      </w:r>
      <w:proofErr w:type="spellStart"/>
      <w:r w:rsidRPr="00F721BA">
        <w:rPr>
          <w:rFonts w:ascii="Arial Narrow" w:hAnsi="Arial Narrow"/>
          <w:lang w:val="en-US"/>
        </w:rPr>
        <w:t>нея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членуват</w:t>
      </w:r>
      <w:proofErr w:type="spellEnd"/>
      <w:r w:rsidRPr="00F721BA">
        <w:rPr>
          <w:rFonts w:ascii="Arial Narrow" w:hAnsi="Arial Narrow"/>
          <w:lang w:val="en-US"/>
        </w:rPr>
        <w:t xml:space="preserve"> 11</w:t>
      </w:r>
      <w:r>
        <w:rPr>
          <w:rFonts w:ascii="Arial Narrow" w:hAnsi="Arial Narrow"/>
        </w:rPr>
        <w:t>6</w:t>
      </w:r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компании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които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осигуряват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висока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представителност</w:t>
      </w:r>
      <w:proofErr w:type="spellEnd"/>
      <w:r w:rsidRPr="00F721BA">
        <w:rPr>
          <w:rFonts w:ascii="Arial Narrow" w:hAnsi="Arial Narrow"/>
          <w:lang w:val="en-US"/>
        </w:rPr>
        <w:t xml:space="preserve"> в 8 </w:t>
      </w:r>
      <w:proofErr w:type="spellStart"/>
      <w:r w:rsidRPr="00F721BA">
        <w:rPr>
          <w:rFonts w:ascii="Arial Narrow" w:hAnsi="Arial Narrow"/>
          <w:lang w:val="en-US"/>
        </w:rPr>
        <w:t>подотрасли</w:t>
      </w:r>
      <w:proofErr w:type="spellEnd"/>
      <w:r w:rsidRPr="00F721BA">
        <w:rPr>
          <w:rFonts w:ascii="Arial Narrow" w:hAnsi="Arial Narrow"/>
          <w:lang w:val="en-US"/>
        </w:rPr>
        <w:t xml:space="preserve">: </w:t>
      </w:r>
      <w:proofErr w:type="spellStart"/>
      <w:r w:rsidRPr="00F721BA">
        <w:rPr>
          <w:rFonts w:ascii="Arial Narrow" w:hAnsi="Arial Narrow"/>
          <w:lang w:val="en-US"/>
        </w:rPr>
        <w:t>геология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добив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нефт</w:t>
      </w:r>
      <w:proofErr w:type="spellEnd"/>
      <w:r w:rsidRPr="00F721BA">
        <w:rPr>
          <w:rFonts w:ascii="Arial Narrow" w:hAnsi="Arial Narrow"/>
          <w:lang w:val="en-US"/>
        </w:rPr>
        <w:t xml:space="preserve"> и </w:t>
      </w:r>
      <w:proofErr w:type="spellStart"/>
      <w:r w:rsidRPr="00F721BA">
        <w:rPr>
          <w:rFonts w:ascii="Arial Narrow" w:hAnsi="Arial Narrow"/>
          <w:lang w:val="en-US"/>
        </w:rPr>
        <w:t>газ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въгледобив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рудодобив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индустриални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минерали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скално-облицовъчни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материали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инертни</w:t>
      </w:r>
      <w:proofErr w:type="spellEnd"/>
      <w:r w:rsidRPr="00F721BA">
        <w:rPr>
          <w:rFonts w:ascii="Arial Narrow" w:hAnsi="Arial Narrow"/>
          <w:lang w:val="en-US"/>
        </w:rPr>
        <w:t xml:space="preserve"> и </w:t>
      </w:r>
      <w:proofErr w:type="spellStart"/>
      <w:r w:rsidRPr="00F721BA">
        <w:rPr>
          <w:rFonts w:ascii="Arial Narrow" w:hAnsi="Arial Narrow"/>
          <w:lang w:val="en-US"/>
        </w:rPr>
        <w:t>строителни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материали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логистика</w:t>
      </w:r>
      <w:proofErr w:type="spellEnd"/>
      <w:r w:rsidRPr="00F721BA">
        <w:rPr>
          <w:rFonts w:ascii="Arial Narrow" w:hAnsi="Arial Narrow"/>
          <w:lang w:val="en-US"/>
        </w:rPr>
        <w:t xml:space="preserve">. </w:t>
      </w:r>
      <w:proofErr w:type="spellStart"/>
      <w:r w:rsidRPr="00F721BA">
        <w:rPr>
          <w:rFonts w:ascii="Arial Narrow" w:hAnsi="Arial Narrow"/>
          <w:lang w:val="en-US"/>
        </w:rPr>
        <w:t>Камарата</w:t>
      </w:r>
      <w:proofErr w:type="spellEnd"/>
      <w:r w:rsidRPr="00F721BA">
        <w:rPr>
          <w:rFonts w:ascii="Arial Narrow" w:hAnsi="Arial Narrow"/>
          <w:lang w:val="en-US"/>
        </w:rPr>
        <w:t xml:space="preserve"> е </w:t>
      </w:r>
      <w:proofErr w:type="spellStart"/>
      <w:r w:rsidRPr="00F721BA">
        <w:rPr>
          <w:rFonts w:ascii="Arial Narrow" w:hAnsi="Arial Narrow"/>
          <w:lang w:val="en-US"/>
        </w:rPr>
        <w:t>член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КРИБ, БСК, </w:t>
      </w:r>
      <w:proofErr w:type="spellStart"/>
      <w:r w:rsidRPr="00F721BA">
        <w:rPr>
          <w:rFonts w:ascii="Arial Narrow" w:hAnsi="Arial Narrow"/>
          <w:lang w:val="en-US"/>
        </w:rPr>
        <w:t>Евромин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Еврокол</w:t>
      </w:r>
      <w:proofErr w:type="spellEnd"/>
      <w:r w:rsidRPr="00F721BA">
        <w:rPr>
          <w:rFonts w:ascii="Arial Narrow" w:hAnsi="Arial Narrow"/>
          <w:lang w:val="en-US"/>
        </w:rPr>
        <w:t xml:space="preserve"> и </w:t>
      </w:r>
      <w:proofErr w:type="spellStart"/>
      <w:r w:rsidRPr="00F721BA">
        <w:rPr>
          <w:rFonts w:ascii="Arial Narrow" w:hAnsi="Arial Narrow"/>
          <w:lang w:val="en-US"/>
        </w:rPr>
        <w:t>активно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участва</w:t>
      </w:r>
      <w:proofErr w:type="spellEnd"/>
      <w:r w:rsidRPr="00F721BA">
        <w:rPr>
          <w:rFonts w:ascii="Arial Narrow" w:hAnsi="Arial Narrow"/>
          <w:lang w:val="en-US"/>
        </w:rPr>
        <w:t xml:space="preserve"> в </w:t>
      </w:r>
      <w:proofErr w:type="spellStart"/>
      <w:r w:rsidRPr="00F721BA">
        <w:rPr>
          <w:rFonts w:ascii="Arial Narrow" w:hAnsi="Arial Narrow"/>
          <w:lang w:val="en-US"/>
        </w:rPr>
        <w:t>Българска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мрежа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Глобалния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договор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ООН. </w:t>
      </w:r>
    </w:p>
    <w:p w:rsidR="000360F6" w:rsidRPr="00F721BA" w:rsidRDefault="000360F6" w:rsidP="000360F6">
      <w:pPr>
        <w:jc w:val="both"/>
        <w:rPr>
          <w:rFonts w:ascii="Arial Narrow" w:hAnsi="Arial Narrow"/>
          <w:lang w:val="en-US"/>
        </w:rPr>
      </w:pPr>
      <w:proofErr w:type="spellStart"/>
      <w:r w:rsidRPr="00F721BA">
        <w:rPr>
          <w:rFonts w:ascii="Arial Narrow" w:hAnsi="Arial Narrow"/>
          <w:lang w:val="en-US"/>
        </w:rPr>
        <w:t>Мисията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БМГК е </w:t>
      </w:r>
      <w:proofErr w:type="spellStart"/>
      <w:r w:rsidRPr="00F721BA">
        <w:rPr>
          <w:rFonts w:ascii="Arial Narrow" w:hAnsi="Arial Narrow"/>
          <w:lang w:val="en-US"/>
        </w:rPr>
        <w:t>да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защитава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интересите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своите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членове</w:t>
      </w:r>
      <w:proofErr w:type="spellEnd"/>
      <w:r w:rsidRPr="00F721BA">
        <w:rPr>
          <w:rFonts w:ascii="Arial Narrow" w:hAnsi="Arial Narrow"/>
          <w:lang w:val="en-US"/>
        </w:rPr>
        <w:t xml:space="preserve"> в </w:t>
      </w:r>
      <w:proofErr w:type="spellStart"/>
      <w:r w:rsidRPr="00F721BA">
        <w:rPr>
          <w:rFonts w:ascii="Arial Narrow" w:hAnsi="Arial Narrow"/>
          <w:lang w:val="en-US"/>
        </w:rPr>
        <w:t>съответствие</w:t>
      </w:r>
      <w:proofErr w:type="spellEnd"/>
      <w:r w:rsidRPr="00F721BA">
        <w:rPr>
          <w:rFonts w:ascii="Arial Narrow" w:hAnsi="Arial Narrow"/>
          <w:lang w:val="en-US"/>
        </w:rPr>
        <w:t xml:space="preserve"> с </w:t>
      </w:r>
      <w:proofErr w:type="spellStart"/>
      <w:r w:rsidRPr="00F721BA">
        <w:rPr>
          <w:rFonts w:ascii="Arial Narrow" w:hAnsi="Arial Narrow"/>
          <w:lang w:val="en-US"/>
        </w:rPr>
        <w:t>принципите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пазарната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икономика</w:t>
      </w:r>
      <w:proofErr w:type="spellEnd"/>
      <w:r w:rsidRPr="00F721BA">
        <w:rPr>
          <w:rFonts w:ascii="Arial Narrow" w:hAnsi="Arial Narrow"/>
          <w:lang w:val="en-US"/>
        </w:rPr>
        <w:t xml:space="preserve">, </w:t>
      </w:r>
      <w:proofErr w:type="spellStart"/>
      <w:r w:rsidRPr="00F721BA">
        <w:rPr>
          <w:rFonts w:ascii="Arial Narrow" w:hAnsi="Arial Narrow"/>
          <w:lang w:val="en-US"/>
        </w:rPr>
        <w:t>устойчивото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развитие</w:t>
      </w:r>
      <w:proofErr w:type="spellEnd"/>
      <w:r w:rsidRPr="00F721BA">
        <w:rPr>
          <w:rFonts w:ascii="Arial Narrow" w:hAnsi="Arial Narrow"/>
          <w:lang w:val="en-US"/>
        </w:rPr>
        <w:t xml:space="preserve"> и </w:t>
      </w:r>
      <w:proofErr w:type="spellStart"/>
      <w:r w:rsidRPr="00F721BA">
        <w:rPr>
          <w:rFonts w:ascii="Arial Narrow" w:hAnsi="Arial Narrow"/>
          <w:lang w:val="en-US"/>
        </w:rPr>
        <w:t>етичните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норми</w:t>
      </w:r>
      <w:proofErr w:type="spellEnd"/>
      <w:r w:rsidRPr="00F721BA">
        <w:rPr>
          <w:rFonts w:ascii="Arial Narrow" w:hAnsi="Arial Narrow"/>
          <w:lang w:val="en-US"/>
        </w:rPr>
        <w:t xml:space="preserve"> и </w:t>
      </w:r>
      <w:proofErr w:type="spellStart"/>
      <w:r w:rsidRPr="00F721BA">
        <w:rPr>
          <w:rFonts w:ascii="Arial Narrow" w:hAnsi="Arial Narrow"/>
          <w:lang w:val="en-US"/>
        </w:rPr>
        <w:t>стремейки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се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към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основната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си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визия</w:t>
      </w:r>
      <w:proofErr w:type="spellEnd"/>
      <w:r w:rsidRPr="00F721BA">
        <w:rPr>
          <w:rFonts w:ascii="Arial Narrow" w:hAnsi="Arial Narrow"/>
          <w:lang w:val="en-US"/>
        </w:rPr>
        <w:t>.</w:t>
      </w:r>
    </w:p>
    <w:p w:rsidR="000360F6" w:rsidRDefault="000360F6" w:rsidP="000360F6">
      <w:pPr>
        <w:jc w:val="both"/>
        <w:rPr>
          <w:rFonts w:ascii="Arial Narrow" w:hAnsi="Arial Narrow"/>
          <w:lang w:val="en-US"/>
        </w:rPr>
      </w:pPr>
      <w:proofErr w:type="spellStart"/>
      <w:r w:rsidRPr="00F721BA">
        <w:rPr>
          <w:rFonts w:ascii="Arial Narrow" w:hAnsi="Arial Narrow"/>
          <w:lang w:val="en-US"/>
        </w:rPr>
        <w:t>За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дългосрочно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развитие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като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национално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представителната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браншова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организация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работодателите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със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значим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принос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за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подобряване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бизнес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условията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за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развитие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отрасъла</w:t>
      </w:r>
      <w:proofErr w:type="spellEnd"/>
      <w:r w:rsidRPr="00F721BA">
        <w:rPr>
          <w:rFonts w:ascii="Arial Narrow" w:hAnsi="Arial Narrow"/>
          <w:lang w:val="en-US"/>
        </w:rPr>
        <w:t xml:space="preserve"> и </w:t>
      </w:r>
      <w:proofErr w:type="spellStart"/>
      <w:r w:rsidRPr="00F721BA">
        <w:rPr>
          <w:rFonts w:ascii="Arial Narrow" w:hAnsi="Arial Narrow"/>
          <w:lang w:val="en-US"/>
        </w:rPr>
        <w:t>социално</w:t>
      </w:r>
      <w:proofErr w:type="spellEnd"/>
      <w:r w:rsidRPr="00F721BA">
        <w:rPr>
          <w:rFonts w:ascii="Arial Narrow" w:hAnsi="Arial Narrow"/>
          <w:lang w:val="en-US"/>
        </w:rPr>
        <w:t xml:space="preserve">- </w:t>
      </w:r>
      <w:proofErr w:type="spellStart"/>
      <w:r w:rsidRPr="00F721BA">
        <w:rPr>
          <w:rFonts w:ascii="Arial Narrow" w:hAnsi="Arial Narrow"/>
          <w:lang w:val="en-US"/>
        </w:rPr>
        <w:t>икономическия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просперитет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страната</w:t>
      </w:r>
      <w:proofErr w:type="spellEnd"/>
      <w:r w:rsidRPr="00F721BA">
        <w:rPr>
          <w:rFonts w:ascii="Arial Narrow" w:hAnsi="Arial Narrow"/>
          <w:lang w:val="en-US"/>
        </w:rPr>
        <w:t xml:space="preserve">. </w:t>
      </w:r>
    </w:p>
    <w:p w:rsidR="000360F6" w:rsidRDefault="000360F6" w:rsidP="000360F6">
      <w:pPr>
        <w:jc w:val="both"/>
        <w:rPr>
          <w:rFonts w:ascii="Arial Narrow" w:hAnsi="Arial Narrow"/>
          <w:lang w:val="en-US"/>
        </w:rPr>
      </w:pPr>
    </w:p>
    <w:p w:rsidR="000360F6" w:rsidRDefault="000360F6" w:rsidP="000360F6">
      <w:pPr>
        <w:jc w:val="both"/>
        <w:rPr>
          <w:rFonts w:ascii="Arial Narrow" w:hAnsi="Arial Narrow"/>
          <w:lang w:val="en-US"/>
        </w:rPr>
      </w:pPr>
      <w:proofErr w:type="spellStart"/>
      <w:r w:rsidRPr="00F721BA">
        <w:rPr>
          <w:rFonts w:ascii="Arial Narrow" w:hAnsi="Arial Narrow"/>
          <w:lang w:val="en-US"/>
        </w:rPr>
        <w:t>Девизът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на</w:t>
      </w:r>
      <w:proofErr w:type="spellEnd"/>
      <w:r w:rsidRPr="00F721BA">
        <w:rPr>
          <w:rFonts w:ascii="Arial Narrow" w:hAnsi="Arial Narrow"/>
          <w:lang w:val="en-US"/>
        </w:rPr>
        <w:t xml:space="preserve"> БМГК е: „</w:t>
      </w:r>
      <w:proofErr w:type="spellStart"/>
      <w:r w:rsidRPr="00F721BA">
        <w:rPr>
          <w:rFonts w:ascii="Arial Narrow" w:hAnsi="Arial Narrow"/>
          <w:lang w:val="en-US"/>
        </w:rPr>
        <w:t>Силни</w:t>
      </w:r>
      <w:proofErr w:type="spellEnd"/>
      <w:r w:rsidRPr="00F721BA">
        <w:rPr>
          <w:rFonts w:ascii="Arial Narrow" w:hAnsi="Arial Narrow"/>
          <w:lang w:val="en-US"/>
        </w:rPr>
        <w:t xml:space="preserve"> </w:t>
      </w:r>
      <w:proofErr w:type="spellStart"/>
      <w:r w:rsidRPr="00F721BA">
        <w:rPr>
          <w:rFonts w:ascii="Arial Narrow" w:hAnsi="Arial Narrow"/>
          <w:lang w:val="en-US"/>
        </w:rPr>
        <w:t>заедно</w:t>
      </w:r>
      <w:proofErr w:type="spellEnd"/>
      <w:proofErr w:type="gramStart"/>
      <w:r w:rsidRPr="00F721BA">
        <w:rPr>
          <w:rFonts w:ascii="Arial Narrow" w:hAnsi="Arial Narrow"/>
          <w:lang w:val="en-US"/>
        </w:rPr>
        <w:t>!“</w:t>
      </w:r>
      <w:proofErr w:type="gramEnd"/>
    </w:p>
    <w:p w:rsidR="000360F6" w:rsidRDefault="000360F6" w:rsidP="000360F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БМГК е организатор на Европейски минен бизнес форум – 13.</w:t>
      </w:r>
      <w:r>
        <w:rPr>
          <w:rFonts w:ascii="Arial Narrow" w:hAnsi="Arial Narrow"/>
          <w:lang w:val="en-US"/>
        </w:rPr>
        <w:t xml:space="preserve">09.2016 </w:t>
      </w:r>
      <w:r>
        <w:rPr>
          <w:rFonts w:ascii="Arial Narrow" w:hAnsi="Arial Narrow"/>
        </w:rPr>
        <w:t xml:space="preserve">г., София. </w:t>
      </w:r>
    </w:p>
    <w:p w:rsidR="000360F6" w:rsidRPr="00DE081A" w:rsidRDefault="000360F6" w:rsidP="000360F6">
      <w:pPr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</w:rPr>
        <w:lastRenderedPageBreak/>
        <w:t xml:space="preserve">Повече на </w:t>
      </w:r>
      <w:hyperlink r:id="rId20" w:history="1">
        <w:r w:rsidRPr="004D6E12">
          <w:rPr>
            <w:rStyle w:val="Hyperlink"/>
            <w:rFonts w:ascii="Arial Narrow" w:hAnsi="Arial Narrow"/>
            <w:lang w:val="en-US"/>
          </w:rPr>
          <w:t>www.embf.eu</w:t>
        </w:r>
      </w:hyperlink>
      <w:r>
        <w:rPr>
          <w:rFonts w:ascii="Arial Narrow" w:hAnsi="Arial Narrow"/>
          <w:lang w:val="en-US"/>
        </w:rPr>
        <w:t xml:space="preserve"> </w:t>
      </w:r>
    </w:p>
    <w:p w:rsidR="000360F6" w:rsidRPr="005C51DC" w:rsidRDefault="000360F6" w:rsidP="000360F6">
      <w:pPr>
        <w:jc w:val="both"/>
        <w:rPr>
          <w:rFonts w:ascii="Arial Narrow" w:hAnsi="Arial Narrow"/>
          <w:b/>
        </w:rPr>
      </w:pPr>
      <w:r w:rsidRPr="005C51DC">
        <w:rPr>
          <w:rFonts w:ascii="Arial Narrow" w:hAnsi="Arial Narrow"/>
          <w:b/>
        </w:rPr>
        <w:t>За контакт:</w:t>
      </w:r>
    </w:p>
    <w:p w:rsidR="000360F6" w:rsidRPr="005C51DC" w:rsidRDefault="000360F6" w:rsidP="000360F6">
      <w:pPr>
        <w:jc w:val="both"/>
        <w:rPr>
          <w:rFonts w:ascii="Arial Narrow" w:hAnsi="Arial Narrow"/>
        </w:rPr>
      </w:pPr>
      <w:r w:rsidRPr="005C51DC">
        <w:rPr>
          <w:rFonts w:ascii="Arial Narrow" w:hAnsi="Arial Narrow"/>
        </w:rPr>
        <w:t>Даниел Киряков</w:t>
      </w:r>
    </w:p>
    <w:p w:rsidR="000360F6" w:rsidRPr="005C51DC" w:rsidRDefault="000360F6" w:rsidP="000360F6">
      <w:pPr>
        <w:jc w:val="both"/>
        <w:rPr>
          <w:rFonts w:ascii="Arial Narrow" w:hAnsi="Arial Narrow"/>
        </w:rPr>
      </w:pPr>
      <w:r w:rsidRPr="005C51DC">
        <w:rPr>
          <w:rFonts w:ascii="Arial Narrow" w:hAnsi="Arial Narrow"/>
        </w:rPr>
        <w:t>Експерт „Връзки с обществеността“</w:t>
      </w:r>
    </w:p>
    <w:p w:rsidR="000360F6" w:rsidRPr="005C51DC" w:rsidRDefault="000360F6" w:rsidP="000360F6">
      <w:pPr>
        <w:jc w:val="both"/>
        <w:rPr>
          <w:rFonts w:ascii="Arial Narrow" w:hAnsi="Arial Narrow"/>
        </w:rPr>
      </w:pPr>
      <w:hyperlink r:id="rId21" w:history="1">
        <w:r w:rsidRPr="005C51DC">
          <w:rPr>
            <w:rStyle w:val="Hyperlink"/>
            <w:rFonts w:ascii="Arial Narrow" w:hAnsi="Arial Narrow"/>
            <w:lang w:val="en-US"/>
          </w:rPr>
          <w:t>Daniel.kiryakov@bmgk-bg.org</w:t>
        </w:r>
      </w:hyperlink>
      <w:r>
        <w:rPr>
          <w:rStyle w:val="Hyperlink"/>
          <w:rFonts w:ascii="Arial Narrow" w:hAnsi="Arial Narrow"/>
        </w:rPr>
        <w:t xml:space="preserve">; </w:t>
      </w:r>
      <w:r w:rsidRPr="005C51DC">
        <w:rPr>
          <w:rFonts w:ascii="Arial Narrow" w:hAnsi="Arial Narrow"/>
          <w:lang w:val="en-US"/>
        </w:rPr>
        <w:t xml:space="preserve">M: </w:t>
      </w:r>
      <w:r w:rsidRPr="005C51DC">
        <w:rPr>
          <w:rFonts w:ascii="Arial Narrow" w:hAnsi="Arial Narrow"/>
        </w:rPr>
        <w:t>+359 879889242</w:t>
      </w:r>
    </w:p>
    <w:p w:rsidR="000360F6" w:rsidRPr="000360F6" w:rsidRDefault="000360F6" w:rsidP="000360F6">
      <w:pPr>
        <w:spacing w:line="240" w:lineRule="auto"/>
        <w:jc w:val="both"/>
        <w:rPr>
          <w:rFonts w:ascii="Arial Narrow" w:hAnsi="Arial Narrow"/>
          <w:noProof/>
          <w:sz w:val="24"/>
          <w:szCs w:val="24"/>
          <w:lang w:eastAsia="bg-BG"/>
        </w:rPr>
      </w:pPr>
    </w:p>
    <w:sectPr w:rsidR="000360F6" w:rsidRPr="000360F6" w:rsidSect="00C6398D">
      <w:footerReference w:type="default" r:id="rId22"/>
      <w:pgSz w:w="11906" w:h="16838"/>
      <w:pgMar w:top="1276" w:right="1417" w:bottom="1276" w:left="1417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EA6" w:rsidRDefault="00A32EA6" w:rsidP="00F519EE">
      <w:pPr>
        <w:spacing w:after="0" w:line="240" w:lineRule="auto"/>
      </w:pPr>
      <w:r>
        <w:separator/>
      </w:r>
    </w:p>
  </w:endnote>
  <w:endnote w:type="continuationSeparator" w:id="0">
    <w:p w:rsidR="00A32EA6" w:rsidRDefault="00A32EA6" w:rsidP="00F5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4F1" w:rsidRPr="00DF44F1" w:rsidRDefault="00DF44F1" w:rsidP="00DF44F1">
    <w:pPr>
      <w:pStyle w:val="Footer"/>
      <w:jc w:val="center"/>
      <w:rPr>
        <w:rStyle w:val="Hyperlink"/>
        <w:sz w:val="28"/>
        <w:szCs w:val="28"/>
      </w:rPr>
    </w:pPr>
    <w:r w:rsidRPr="00DF44F1">
      <w:rPr>
        <w:sz w:val="28"/>
        <w:szCs w:val="28"/>
      </w:rPr>
      <w:fldChar w:fldCharType="begin"/>
    </w:r>
    <w:r w:rsidRPr="00DF44F1">
      <w:rPr>
        <w:sz w:val="28"/>
        <w:szCs w:val="28"/>
      </w:rPr>
      <w:instrText>HYPERLINK  \l "_Бизнес_климат_2016"</w:instrText>
    </w:r>
    <w:r w:rsidRPr="00DF44F1">
      <w:rPr>
        <w:sz w:val="28"/>
        <w:szCs w:val="28"/>
      </w:rPr>
    </w:r>
    <w:r w:rsidRPr="00DF44F1">
      <w:rPr>
        <w:sz w:val="28"/>
        <w:szCs w:val="28"/>
      </w:rPr>
      <w:fldChar w:fldCharType="separate"/>
    </w:r>
    <w:r w:rsidRPr="00DF44F1">
      <w:rPr>
        <w:rStyle w:val="Hyperlink"/>
        <w:sz w:val="28"/>
        <w:szCs w:val="28"/>
      </w:rPr>
      <w:t>Обратно към съдъ</w:t>
    </w:r>
    <w:r w:rsidRPr="00DF44F1">
      <w:rPr>
        <w:rStyle w:val="Hyperlink"/>
        <w:sz w:val="28"/>
        <w:szCs w:val="28"/>
      </w:rPr>
      <w:t>р</w:t>
    </w:r>
    <w:r w:rsidRPr="00DF44F1">
      <w:rPr>
        <w:rStyle w:val="Hyperlink"/>
        <w:sz w:val="28"/>
        <w:szCs w:val="28"/>
      </w:rPr>
      <w:t>ж</w:t>
    </w:r>
    <w:r w:rsidRPr="00DF44F1">
      <w:rPr>
        <w:rStyle w:val="Hyperlink"/>
        <w:sz w:val="28"/>
        <w:szCs w:val="28"/>
      </w:rPr>
      <w:t>а</w:t>
    </w:r>
    <w:r w:rsidRPr="00DF44F1">
      <w:rPr>
        <w:rStyle w:val="Hyperlink"/>
        <w:sz w:val="28"/>
        <w:szCs w:val="28"/>
      </w:rPr>
      <w:t>нието</w:t>
    </w:r>
  </w:p>
  <w:p w:rsidR="00B44590" w:rsidRDefault="00DF44F1" w:rsidP="00DF44F1">
    <w:pPr>
      <w:pStyle w:val="Footer"/>
      <w:jc w:val="center"/>
    </w:pPr>
    <w:r w:rsidRPr="00DF44F1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EA6" w:rsidRDefault="00A32EA6" w:rsidP="00F519EE">
      <w:pPr>
        <w:spacing w:after="0" w:line="240" w:lineRule="auto"/>
      </w:pPr>
      <w:r>
        <w:separator/>
      </w:r>
    </w:p>
  </w:footnote>
  <w:footnote w:type="continuationSeparator" w:id="0">
    <w:p w:rsidR="00A32EA6" w:rsidRDefault="00A32EA6" w:rsidP="00F519EE">
      <w:pPr>
        <w:spacing w:after="0" w:line="240" w:lineRule="auto"/>
      </w:pPr>
      <w:r>
        <w:continuationSeparator/>
      </w:r>
    </w:p>
  </w:footnote>
  <w:footnote w:id="1">
    <w:p w:rsidR="00CE3FF0" w:rsidRDefault="00CE3FF0">
      <w:pPr>
        <w:pStyle w:val="FootnoteText"/>
      </w:pPr>
      <w:r>
        <w:rPr>
          <w:rStyle w:val="FootnoteReference"/>
        </w:rPr>
        <w:footnoteRef/>
      </w:r>
      <w:r>
        <w:t xml:space="preserve"> Резултатите са базирани на отговорите на членове на въпроса „Какви планове имате да реализирате през 2016 г., който съдържа 11 отговора, за които няма ограничение в отговорите.</w:t>
      </w:r>
    </w:p>
  </w:footnote>
  <w:footnote w:id="2">
    <w:p w:rsidR="00DC1E6A" w:rsidRDefault="00DC1E6A">
      <w:pPr>
        <w:pStyle w:val="FootnoteText"/>
      </w:pPr>
      <w:r>
        <w:rPr>
          <w:rStyle w:val="FootnoteReference"/>
        </w:rPr>
        <w:footnoteRef/>
      </w:r>
      <w:r>
        <w:t xml:space="preserve"> Въпросът за плановете през 2016 г. съдържа 11 отговора. Компаниите предпочитат да отговорят като маркират този отговор, който най-точно характеризира тяхната стратегия. </w:t>
      </w:r>
    </w:p>
  </w:footnote>
  <w:footnote w:id="3">
    <w:p w:rsidR="00912E11" w:rsidRDefault="00912E11">
      <w:pPr>
        <w:pStyle w:val="FootnoteText"/>
      </w:pPr>
      <w:r>
        <w:rPr>
          <w:rStyle w:val="FootnoteReference"/>
        </w:rPr>
        <w:footnoteRef/>
      </w:r>
      <w:r>
        <w:t xml:space="preserve"> Добавянето на нов отговор статистически води до намаляване на резултата на останалите отговори. Тук изследваме както нагласите към иновациите, така и запазване на тенденции към останалите отговори.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9pt;height:9pt" o:bullet="t">
        <v:imagedata r:id="rId1" o:title="BD14655_"/>
      </v:shape>
    </w:pict>
  </w:numPicBullet>
  <w:numPicBullet w:numPicBulletId="1">
    <w:pict>
      <v:shape id="_x0000_i1082" type="#_x0000_t75" style="width:9pt;height:9pt" o:bullet="t">
        <v:imagedata r:id="rId2" o:title="j0115844"/>
      </v:shape>
    </w:pict>
  </w:numPicBullet>
  <w:abstractNum w:abstractNumId="0" w15:restartNumberingAfterBreak="0">
    <w:nsid w:val="042A7A38"/>
    <w:multiLevelType w:val="hybridMultilevel"/>
    <w:tmpl w:val="5F6E9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5F2E"/>
    <w:multiLevelType w:val="hybridMultilevel"/>
    <w:tmpl w:val="64E86E6C"/>
    <w:lvl w:ilvl="0" w:tplc="0402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B8113F"/>
    <w:multiLevelType w:val="hybridMultilevel"/>
    <w:tmpl w:val="893424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64368"/>
    <w:multiLevelType w:val="hybridMultilevel"/>
    <w:tmpl w:val="3C224C2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86FBC"/>
    <w:multiLevelType w:val="hybridMultilevel"/>
    <w:tmpl w:val="7960B3E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018C8"/>
    <w:multiLevelType w:val="hybridMultilevel"/>
    <w:tmpl w:val="A99EAF8C"/>
    <w:lvl w:ilvl="0" w:tplc="89EE12FC">
      <w:start w:val="4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2317D"/>
    <w:multiLevelType w:val="hybridMultilevel"/>
    <w:tmpl w:val="6CC651B8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AB61B1"/>
    <w:multiLevelType w:val="hybridMultilevel"/>
    <w:tmpl w:val="2092C2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96EB2"/>
    <w:multiLevelType w:val="hybridMultilevel"/>
    <w:tmpl w:val="DE505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254CD"/>
    <w:multiLevelType w:val="hybridMultilevel"/>
    <w:tmpl w:val="020E1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B48AD"/>
    <w:multiLevelType w:val="hybridMultilevel"/>
    <w:tmpl w:val="3F76EF34"/>
    <w:lvl w:ilvl="0" w:tplc="DEA85BC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F6954"/>
    <w:multiLevelType w:val="hybridMultilevel"/>
    <w:tmpl w:val="00389DA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650D5"/>
    <w:multiLevelType w:val="hybridMultilevel"/>
    <w:tmpl w:val="9C6203D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177D3"/>
    <w:multiLevelType w:val="hybridMultilevel"/>
    <w:tmpl w:val="3FB8C1E6"/>
    <w:lvl w:ilvl="0" w:tplc="18DAEC8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446A5"/>
    <w:multiLevelType w:val="hybridMultilevel"/>
    <w:tmpl w:val="05F83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B021C"/>
    <w:multiLevelType w:val="hybridMultilevel"/>
    <w:tmpl w:val="4ADE899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8221B"/>
    <w:multiLevelType w:val="hybridMultilevel"/>
    <w:tmpl w:val="4B6493BE"/>
    <w:lvl w:ilvl="0" w:tplc="320C7F1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1804E3"/>
    <w:multiLevelType w:val="hybridMultilevel"/>
    <w:tmpl w:val="5052E6F6"/>
    <w:lvl w:ilvl="0" w:tplc="320C7F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526DA"/>
    <w:multiLevelType w:val="hybridMultilevel"/>
    <w:tmpl w:val="33966FD2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D04D3"/>
    <w:multiLevelType w:val="hybridMultilevel"/>
    <w:tmpl w:val="2356EA66"/>
    <w:lvl w:ilvl="0" w:tplc="1AFA72A2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E0816"/>
    <w:multiLevelType w:val="hybridMultilevel"/>
    <w:tmpl w:val="B896F9EE"/>
    <w:lvl w:ilvl="0" w:tplc="9B1860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2778A"/>
    <w:multiLevelType w:val="hybridMultilevel"/>
    <w:tmpl w:val="8AC88FE0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0A4964"/>
    <w:multiLevelType w:val="hybridMultilevel"/>
    <w:tmpl w:val="96CA6B1C"/>
    <w:lvl w:ilvl="0" w:tplc="320C7F1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B82EF9"/>
    <w:multiLevelType w:val="hybridMultilevel"/>
    <w:tmpl w:val="6E94B4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91EA8"/>
    <w:multiLevelType w:val="hybridMultilevel"/>
    <w:tmpl w:val="A0A0989E"/>
    <w:lvl w:ilvl="0" w:tplc="320C7F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A64D0"/>
    <w:multiLevelType w:val="hybridMultilevel"/>
    <w:tmpl w:val="9A0675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40C5A"/>
    <w:multiLevelType w:val="hybridMultilevel"/>
    <w:tmpl w:val="1490261C"/>
    <w:lvl w:ilvl="0" w:tplc="18DAEC8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585774"/>
    <w:multiLevelType w:val="hybridMultilevel"/>
    <w:tmpl w:val="9ED83A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E4CF4"/>
    <w:multiLevelType w:val="hybridMultilevel"/>
    <w:tmpl w:val="C13247F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23"/>
  </w:num>
  <w:num w:numId="5">
    <w:abstractNumId w:val="24"/>
  </w:num>
  <w:num w:numId="6">
    <w:abstractNumId w:val="17"/>
  </w:num>
  <w:num w:numId="7">
    <w:abstractNumId w:val="16"/>
  </w:num>
  <w:num w:numId="8">
    <w:abstractNumId w:val="22"/>
  </w:num>
  <w:num w:numId="9">
    <w:abstractNumId w:val="20"/>
  </w:num>
  <w:num w:numId="10">
    <w:abstractNumId w:val="15"/>
  </w:num>
  <w:num w:numId="11">
    <w:abstractNumId w:val="13"/>
  </w:num>
  <w:num w:numId="12">
    <w:abstractNumId w:val="26"/>
  </w:num>
  <w:num w:numId="13">
    <w:abstractNumId w:val="6"/>
  </w:num>
  <w:num w:numId="14">
    <w:abstractNumId w:val="28"/>
  </w:num>
  <w:num w:numId="15">
    <w:abstractNumId w:val="4"/>
  </w:num>
  <w:num w:numId="16">
    <w:abstractNumId w:val="21"/>
  </w:num>
  <w:num w:numId="17">
    <w:abstractNumId w:val="11"/>
  </w:num>
  <w:num w:numId="18">
    <w:abstractNumId w:val="1"/>
  </w:num>
  <w:num w:numId="19">
    <w:abstractNumId w:val="14"/>
  </w:num>
  <w:num w:numId="20">
    <w:abstractNumId w:val="0"/>
  </w:num>
  <w:num w:numId="21">
    <w:abstractNumId w:val="8"/>
  </w:num>
  <w:num w:numId="22">
    <w:abstractNumId w:val="18"/>
  </w:num>
  <w:num w:numId="23">
    <w:abstractNumId w:val="27"/>
  </w:num>
  <w:num w:numId="24">
    <w:abstractNumId w:val="19"/>
  </w:num>
  <w:num w:numId="25">
    <w:abstractNumId w:val="12"/>
  </w:num>
  <w:num w:numId="26">
    <w:abstractNumId w:val="3"/>
  </w:num>
  <w:num w:numId="27">
    <w:abstractNumId w:val="25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64"/>
    <w:rsid w:val="0000545F"/>
    <w:rsid w:val="00013745"/>
    <w:rsid w:val="00013879"/>
    <w:rsid w:val="00015425"/>
    <w:rsid w:val="00015E99"/>
    <w:rsid w:val="0001648A"/>
    <w:rsid w:val="0001719E"/>
    <w:rsid w:val="00022C05"/>
    <w:rsid w:val="00031C59"/>
    <w:rsid w:val="00033CAF"/>
    <w:rsid w:val="0003487E"/>
    <w:rsid w:val="00035DF6"/>
    <w:rsid w:val="000360F6"/>
    <w:rsid w:val="000403D9"/>
    <w:rsid w:val="00042F2A"/>
    <w:rsid w:val="00044558"/>
    <w:rsid w:val="000506B4"/>
    <w:rsid w:val="00050EDD"/>
    <w:rsid w:val="0005133D"/>
    <w:rsid w:val="00051C35"/>
    <w:rsid w:val="000528B0"/>
    <w:rsid w:val="00054723"/>
    <w:rsid w:val="00054A3D"/>
    <w:rsid w:val="00055CD3"/>
    <w:rsid w:val="00057C42"/>
    <w:rsid w:val="0006009B"/>
    <w:rsid w:val="000613C4"/>
    <w:rsid w:val="00064793"/>
    <w:rsid w:val="0006585D"/>
    <w:rsid w:val="00065FFD"/>
    <w:rsid w:val="0006658C"/>
    <w:rsid w:val="000704C0"/>
    <w:rsid w:val="000772C2"/>
    <w:rsid w:val="0008208F"/>
    <w:rsid w:val="00083083"/>
    <w:rsid w:val="000842C0"/>
    <w:rsid w:val="0008641E"/>
    <w:rsid w:val="00087B7F"/>
    <w:rsid w:val="00091559"/>
    <w:rsid w:val="00093097"/>
    <w:rsid w:val="00093E95"/>
    <w:rsid w:val="000944CA"/>
    <w:rsid w:val="00094525"/>
    <w:rsid w:val="00094EE7"/>
    <w:rsid w:val="000A3169"/>
    <w:rsid w:val="000A3484"/>
    <w:rsid w:val="000B1A1A"/>
    <w:rsid w:val="000B1CA4"/>
    <w:rsid w:val="000B297F"/>
    <w:rsid w:val="000C07E7"/>
    <w:rsid w:val="000C1CCB"/>
    <w:rsid w:val="000C41BA"/>
    <w:rsid w:val="000C5EC7"/>
    <w:rsid w:val="000C5FD5"/>
    <w:rsid w:val="000D47C7"/>
    <w:rsid w:val="000D509C"/>
    <w:rsid w:val="000D6107"/>
    <w:rsid w:val="000E0BE1"/>
    <w:rsid w:val="000E2289"/>
    <w:rsid w:val="000F100B"/>
    <w:rsid w:val="000F36E4"/>
    <w:rsid w:val="000F5A2B"/>
    <w:rsid w:val="000F6BCE"/>
    <w:rsid w:val="00100D6A"/>
    <w:rsid w:val="00101CCB"/>
    <w:rsid w:val="00102D26"/>
    <w:rsid w:val="00104524"/>
    <w:rsid w:val="00105C7A"/>
    <w:rsid w:val="00105E4F"/>
    <w:rsid w:val="001061C4"/>
    <w:rsid w:val="00107294"/>
    <w:rsid w:val="00112218"/>
    <w:rsid w:val="00113751"/>
    <w:rsid w:val="00113A78"/>
    <w:rsid w:val="00115EEF"/>
    <w:rsid w:val="001176DE"/>
    <w:rsid w:val="00117EA0"/>
    <w:rsid w:val="0012014E"/>
    <w:rsid w:val="00121607"/>
    <w:rsid w:val="0012291C"/>
    <w:rsid w:val="00122AAC"/>
    <w:rsid w:val="00123677"/>
    <w:rsid w:val="00124BCD"/>
    <w:rsid w:val="0013064F"/>
    <w:rsid w:val="00133DFE"/>
    <w:rsid w:val="001345CF"/>
    <w:rsid w:val="00135ABB"/>
    <w:rsid w:val="00135E82"/>
    <w:rsid w:val="00136D0D"/>
    <w:rsid w:val="001370A4"/>
    <w:rsid w:val="00137564"/>
    <w:rsid w:val="00137BCF"/>
    <w:rsid w:val="001407AF"/>
    <w:rsid w:val="00142392"/>
    <w:rsid w:val="00142FAC"/>
    <w:rsid w:val="00143CC3"/>
    <w:rsid w:val="001461A8"/>
    <w:rsid w:val="00146236"/>
    <w:rsid w:val="00152D25"/>
    <w:rsid w:val="00153A12"/>
    <w:rsid w:val="00153C85"/>
    <w:rsid w:val="00156424"/>
    <w:rsid w:val="00156EA6"/>
    <w:rsid w:val="00161402"/>
    <w:rsid w:val="00163114"/>
    <w:rsid w:val="0016745C"/>
    <w:rsid w:val="00172F9A"/>
    <w:rsid w:val="00173058"/>
    <w:rsid w:val="001736BA"/>
    <w:rsid w:val="001808D8"/>
    <w:rsid w:val="00181F59"/>
    <w:rsid w:val="001841AE"/>
    <w:rsid w:val="00192AD2"/>
    <w:rsid w:val="00195387"/>
    <w:rsid w:val="001A5AA6"/>
    <w:rsid w:val="001A5BE5"/>
    <w:rsid w:val="001A7FF0"/>
    <w:rsid w:val="001B45E3"/>
    <w:rsid w:val="001C1E49"/>
    <w:rsid w:val="001C20EE"/>
    <w:rsid w:val="001C2183"/>
    <w:rsid w:val="001C2572"/>
    <w:rsid w:val="001C2CE3"/>
    <w:rsid w:val="001C3999"/>
    <w:rsid w:val="001C498C"/>
    <w:rsid w:val="001C778B"/>
    <w:rsid w:val="001D0FC7"/>
    <w:rsid w:val="001D3025"/>
    <w:rsid w:val="001D3374"/>
    <w:rsid w:val="001D4AE3"/>
    <w:rsid w:val="001E3AED"/>
    <w:rsid w:val="001E5A7F"/>
    <w:rsid w:val="001E7940"/>
    <w:rsid w:val="001F00C7"/>
    <w:rsid w:val="001F20EA"/>
    <w:rsid w:val="001F299E"/>
    <w:rsid w:val="001F391C"/>
    <w:rsid w:val="001F3E5E"/>
    <w:rsid w:val="001F446E"/>
    <w:rsid w:val="001F53BA"/>
    <w:rsid w:val="001F5836"/>
    <w:rsid w:val="001F5C69"/>
    <w:rsid w:val="001F646D"/>
    <w:rsid w:val="001F67F5"/>
    <w:rsid w:val="00200590"/>
    <w:rsid w:val="00200BCA"/>
    <w:rsid w:val="00202B71"/>
    <w:rsid w:val="0020300B"/>
    <w:rsid w:val="002032FA"/>
    <w:rsid w:val="00207F8C"/>
    <w:rsid w:val="00210656"/>
    <w:rsid w:val="00213AB0"/>
    <w:rsid w:val="00214FAF"/>
    <w:rsid w:val="00215373"/>
    <w:rsid w:val="0022053C"/>
    <w:rsid w:val="00220A51"/>
    <w:rsid w:val="00220C16"/>
    <w:rsid w:val="0022216C"/>
    <w:rsid w:val="00226182"/>
    <w:rsid w:val="00226578"/>
    <w:rsid w:val="00226B84"/>
    <w:rsid w:val="00227DE2"/>
    <w:rsid w:val="00230992"/>
    <w:rsid w:val="002309B7"/>
    <w:rsid w:val="00230ECE"/>
    <w:rsid w:val="002315D5"/>
    <w:rsid w:val="00231FA9"/>
    <w:rsid w:val="00232730"/>
    <w:rsid w:val="002340C6"/>
    <w:rsid w:val="0023617C"/>
    <w:rsid w:val="00237883"/>
    <w:rsid w:val="00242467"/>
    <w:rsid w:val="00242B4E"/>
    <w:rsid w:val="00245086"/>
    <w:rsid w:val="002514DA"/>
    <w:rsid w:val="002553CC"/>
    <w:rsid w:val="0026011A"/>
    <w:rsid w:val="00262093"/>
    <w:rsid w:val="00264BEA"/>
    <w:rsid w:val="002661A7"/>
    <w:rsid w:val="002675CD"/>
    <w:rsid w:val="00275CBE"/>
    <w:rsid w:val="00275D14"/>
    <w:rsid w:val="002769D4"/>
    <w:rsid w:val="00277964"/>
    <w:rsid w:val="002779E5"/>
    <w:rsid w:val="0028002F"/>
    <w:rsid w:val="00280308"/>
    <w:rsid w:val="00281932"/>
    <w:rsid w:val="002827C7"/>
    <w:rsid w:val="002833C8"/>
    <w:rsid w:val="00284F7B"/>
    <w:rsid w:val="00285230"/>
    <w:rsid w:val="0028526C"/>
    <w:rsid w:val="00285FD3"/>
    <w:rsid w:val="00290BD7"/>
    <w:rsid w:val="00293774"/>
    <w:rsid w:val="0029455E"/>
    <w:rsid w:val="0029587C"/>
    <w:rsid w:val="002969A4"/>
    <w:rsid w:val="00296D0D"/>
    <w:rsid w:val="002A2AC5"/>
    <w:rsid w:val="002A368E"/>
    <w:rsid w:val="002A3BFB"/>
    <w:rsid w:val="002A5F92"/>
    <w:rsid w:val="002A67ED"/>
    <w:rsid w:val="002A717B"/>
    <w:rsid w:val="002A7E31"/>
    <w:rsid w:val="002B1578"/>
    <w:rsid w:val="002C0DA0"/>
    <w:rsid w:val="002C1F02"/>
    <w:rsid w:val="002C2C26"/>
    <w:rsid w:val="002D1D0F"/>
    <w:rsid w:val="002D4C0B"/>
    <w:rsid w:val="002D5AEB"/>
    <w:rsid w:val="002D6DE7"/>
    <w:rsid w:val="002D6E13"/>
    <w:rsid w:val="002E14CC"/>
    <w:rsid w:val="002E20AE"/>
    <w:rsid w:val="002E426E"/>
    <w:rsid w:val="002E4D0C"/>
    <w:rsid w:val="002E58E8"/>
    <w:rsid w:val="002E77E7"/>
    <w:rsid w:val="002F04EB"/>
    <w:rsid w:val="002F28AD"/>
    <w:rsid w:val="002F6359"/>
    <w:rsid w:val="002F6797"/>
    <w:rsid w:val="002F6840"/>
    <w:rsid w:val="002F75BE"/>
    <w:rsid w:val="00300BE1"/>
    <w:rsid w:val="003054DF"/>
    <w:rsid w:val="00305F46"/>
    <w:rsid w:val="00310635"/>
    <w:rsid w:val="00311455"/>
    <w:rsid w:val="00312504"/>
    <w:rsid w:val="003126F0"/>
    <w:rsid w:val="00315927"/>
    <w:rsid w:val="003171C9"/>
    <w:rsid w:val="00320050"/>
    <w:rsid w:val="003211D4"/>
    <w:rsid w:val="00325799"/>
    <w:rsid w:val="0032625E"/>
    <w:rsid w:val="003304A4"/>
    <w:rsid w:val="00330D93"/>
    <w:rsid w:val="0033100D"/>
    <w:rsid w:val="00334583"/>
    <w:rsid w:val="00334B72"/>
    <w:rsid w:val="0033663D"/>
    <w:rsid w:val="003371A1"/>
    <w:rsid w:val="00344CF5"/>
    <w:rsid w:val="00344E0A"/>
    <w:rsid w:val="003456D1"/>
    <w:rsid w:val="00345AFB"/>
    <w:rsid w:val="00346570"/>
    <w:rsid w:val="003468D7"/>
    <w:rsid w:val="00347139"/>
    <w:rsid w:val="00350A7E"/>
    <w:rsid w:val="00351922"/>
    <w:rsid w:val="00353699"/>
    <w:rsid w:val="003549AA"/>
    <w:rsid w:val="00356946"/>
    <w:rsid w:val="00357642"/>
    <w:rsid w:val="0035770D"/>
    <w:rsid w:val="00357E22"/>
    <w:rsid w:val="0036037A"/>
    <w:rsid w:val="003603A4"/>
    <w:rsid w:val="00361127"/>
    <w:rsid w:val="003635F1"/>
    <w:rsid w:val="00363F8E"/>
    <w:rsid w:val="003677E1"/>
    <w:rsid w:val="00367DE0"/>
    <w:rsid w:val="0037692C"/>
    <w:rsid w:val="00376BFD"/>
    <w:rsid w:val="0038046A"/>
    <w:rsid w:val="00381BE2"/>
    <w:rsid w:val="00382039"/>
    <w:rsid w:val="00382CB5"/>
    <w:rsid w:val="00385BE8"/>
    <w:rsid w:val="00386EBE"/>
    <w:rsid w:val="0039170E"/>
    <w:rsid w:val="00392832"/>
    <w:rsid w:val="003943A1"/>
    <w:rsid w:val="0039705B"/>
    <w:rsid w:val="0039745D"/>
    <w:rsid w:val="003A0983"/>
    <w:rsid w:val="003A0CAC"/>
    <w:rsid w:val="003A4FBE"/>
    <w:rsid w:val="003B00AE"/>
    <w:rsid w:val="003B1D04"/>
    <w:rsid w:val="003B38D9"/>
    <w:rsid w:val="003B4CDD"/>
    <w:rsid w:val="003C16EC"/>
    <w:rsid w:val="003C2885"/>
    <w:rsid w:val="003C2D4F"/>
    <w:rsid w:val="003C2E43"/>
    <w:rsid w:val="003C3AE6"/>
    <w:rsid w:val="003C3FB6"/>
    <w:rsid w:val="003C47EF"/>
    <w:rsid w:val="003C59BE"/>
    <w:rsid w:val="003D069A"/>
    <w:rsid w:val="003D32FC"/>
    <w:rsid w:val="003D36F6"/>
    <w:rsid w:val="003E3B00"/>
    <w:rsid w:val="003E7E68"/>
    <w:rsid w:val="003F020A"/>
    <w:rsid w:val="003F14A6"/>
    <w:rsid w:val="003F3441"/>
    <w:rsid w:val="003F3901"/>
    <w:rsid w:val="004000B0"/>
    <w:rsid w:val="004002DB"/>
    <w:rsid w:val="0040033F"/>
    <w:rsid w:val="0040314D"/>
    <w:rsid w:val="00415080"/>
    <w:rsid w:val="00415836"/>
    <w:rsid w:val="0041699F"/>
    <w:rsid w:val="00417CA7"/>
    <w:rsid w:val="004206FB"/>
    <w:rsid w:val="0042070B"/>
    <w:rsid w:val="00422ACE"/>
    <w:rsid w:val="00422FCB"/>
    <w:rsid w:val="004233E9"/>
    <w:rsid w:val="0042559A"/>
    <w:rsid w:val="004261DE"/>
    <w:rsid w:val="004272A8"/>
    <w:rsid w:val="0043290B"/>
    <w:rsid w:val="00433818"/>
    <w:rsid w:val="00433A7D"/>
    <w:rsid w:val="0043719C"/>
    <w:rsid w:val="004440DD"/>
    <w:rsid w:val="00444F87"/>
    <w:rsid w:val="00454E43"/>
    <w:rsid w:val="00454EBD"/>
    <w:rsid w:val="004603FC"/>
    <w:rsid w:val="0046062E"/>
    <w:rsid w:val="004655F2"/>
    <w:rsid w:val="0047176F"/>
    <w:rsid w:val="00474F00"/>
    <w:rsid w:val="004751AE"/>
    <w:rsid w:val="00482CDB"/>
    <w:rsid w:val="00483050"/>
    <w:rsid w:val="00490225"/>
    <w:rsid w:val="004904EE"/>
    <w:rsid w:val="00490D2B"/>
    <w:rsid w:val="00490FFF"/>
    <w:rsid w:val="0049385C"/>
    <w:rsid w:val="00493E66"/>
    <w:rsid w:val="0049650B"/>
    <w:rsid w:val="004A6C68"/>
    <w:rsid w:val="004B273F"/>
    <w:rsid w:val="004B28AD"/>
    <w:rsid w:val="004B3565"/>
    <w:rsid w:val="004B3A25"/>
    <w:rsid w:val="004B5223"/>
    <w:rsid w:val="004C02F5"/>
    <w:rsid w:val="004C13C4"/>
    <w:rsid w:val="004C483F"/>
    <w:rsid w:val="004D0F63"/>
    <w:rsid w:val="004D365E"/>
    <w:rsid w:val="004D5079"/>
    <w:rsid w:val="004D51CD"/>
    <w:rsid w:val="004D6990"/>
    <w:rsid w:val="004D7079"/>
    <w:rsid w:val="004D7AFE"/>
    <w:rsid w:val="004E368A"/>
    <w:rsid w:val="004E3984"/>
    <w:rsid w:val="004E6CE4"/>
    <w:rsid w:val="004E751C"/>
    <w:rsid w:val="004F2BC1"/>
    <w:rsid w:val="004F2E0E"/>
    <w:rsid w:val="00500F61"/>
    <w:rsid w:val="00501369"/>
    <w:rsid w:val="005027FF"/>
    <w:rsid w:val="00502B86"/>
    <w:rsid w:val="0050511F"/>
    <w:rsid w:val="005059DE"/>
    <w:rsid w:val="00506AD8"/>
    <w:rsid w:val="005073C3"/>
    <w:rsid w:val="005149E1"/>
    <w:rsid w:val="00517F6B"/>
    <w:rsid w:val="00520C3B"/>
    <w:rsid w:val="005222C4"/>
    <w:rsid w:val="00523219"/>
    <w:rsid w:val="00525E10"/>
    <w:rsid w:val="005300BC"/>
    <w:rsid w:val="005332FF"/>
    <w:rsid w:val="00534427"/>
    <w:rsid w:val="00535A61"/>
    <w:rsid w:val="0053662B"/>
    <w:rsid w:val="005367C3"/>
    <w:rsid w:val="00536D2A"/>
    <w:rsid w:val="00543320"/>
    <w:rsid w:val="005448D3"/>
    <w:rsid w:val="005466C4"/>
    <w:rsid w:val="005469C3"/>
    <w:rsid w:val="00547939"/>
    <w:rsid w:val="00547F06"/>
    <w:rsid w:val="00555D2F"/>
    <w:rsid w:val="00556B52"/>
    <w:rsid w:val="005571A4"/>
    <w:rsid w:val="00575F80"/>
    <w:rsid w:val="00582238"/>
    <w:rsid w:val="00582FB7"/>
    <w:rsid w:val="00585A30"/>
    <w:rsid w:val="005873B9"/>
    <w:rsid w:val="005878C5"/>
    <w:rsid w:val="0059124E"/>
    <w:rsid w:val="00591A4E"/>
    <w:rsid w:val="005943CE"/>
    <w:rsid w:val="005947CB"/>
    <w:rsid w:val="00595F8A"/>
    <w:rsid w:val="0059646C"/>
    <w:rsid w:val="00597022"/>
    <w:rsid w:val="00597F87"/>
    <w:rsid w:val="005A021F"/>
    <w:rsid w:val="005A0C4F"/>
    <w:rsid w:val="005A1748"/>
    <w:rsid w:val="005A2C29"/>
    <w:rsid w:val="005A2F75"/>
    <w:rsid w:val="005A5E49"/>
    <w:rsid w:val="005A6DB6"/>
    <w:rsid w:val="005B004E"/>
    <w:rsid w:val="005B07C5"/>
    <w:rsid w:val="005B0CFB"/>
    <w:rsid w:val="005B3666"/>
    <w:rsid w:val="005B7542"/>
    <w:rsid w:val="005C0E8D"/>
    <w:rsid w:val="005C2CC9"/>
    <w:rsid w:val="005C406C"/>
    <w:rsid w:val="005D0164"/>
    <w:rsid w:val="005D23B1"/>
    <w:rsid w:val="005D5530"/>
    <w:rsid w:val="005D5686"/>
    <w:rsid w:val="005D5944"/>
    <w:rsid w:val="005D5E72"/>
    <w:rsid w:val="005D76BC"/>
    <w:rsid w:val="005D7F45"/>
    <w:rsid w:val="005E2825"/>
    <w:rsid w:val="005E555E"/>
    <w:rsid w:val="005E60D0"/>
    <w:rsid w:val="005E6514"/>
    <w:rsid w:val="005E675A"/>
    <w:rsid w:val="005E735E"/>
    <w:rsid w:val="005F0E95"/>
    <w:rsid w:val="005F13F9"/>
    <w:rsid w:val="005F2E09"/>
    <w:rsid w:val="005F376D"/>
    <w:rsid w:val="005F3E3A"/>
    <w:rsid w:val="005F4B0A"/>
    <w:rsid w:val="005F62CE"/>
    <w:rsid w:val="005F6EBC"/>
    <w:rsid w:val="00601328"/>
    <w:rsid w:val="006039BD"/>
    <w:rsid w:val="00610CA9"/>
    <w:rsid w:val="00610F1F"/>
    <w:rsid w:val="0061102D"/>
    <w:rsid w:val="00611637"/>
    <w:rsid w:val="006118C3"/>
    <w:rsid w:val="0061243B"/>
    <w:rsid w:val="00614D15"/>
    <w:rsid w:val="006154AE"/>
    <w:rsid w:val="00615C17"/>
    <w:rsid w:val="006233D8"/>
    <w:rsid w:val="0062428D"/>
    <w:rsid w:val="006249E3"/>
    <w:rsid w:val="00624B74"/>
    <w:rsid w:val="00625A98"/>
    <w:rsid w:val="00630415"/>
    <w:rsid w:val="00634992"/>
    <w:rsid w:val="00636A5E"/>
    <w:rsid w:val="0063715F"/>
    <w:rsid w:val="00637D40"/>
    <w:rsid w:val="006413BF"/>
    <w:rsid w:val="0064181F"/>
    <w:rsid w:val="006452A6"/>
    <w:rsid w:val="006474AD"/>
    <w:rsid w:val="006547BA"/>
    <w:rsid w:val="00654DF9"/>
    <w:rsid w:val="006623C4"/>
    <w:rsid w:val="00663286"/>
    <w:rsid w:val="00666576"/>
    <w:rsid w:val="006700A3"/>
    <w:rsid w:val="00670D8F"/>
    <w:rsid w:val="006712B3"/>
    <w:rsid w:val="0067629F"/>
    <w:rsid w:val="00681B1D"/>
    <w:rsid w:val="00681E04"/>
    <w:rsid w:val="00683736"/>
    <w:rsid w:val="00683BCF"/>
    <w:rsid w:val="00690F2D"/>
    <w:rsid w:val="00695246"/>
    <w:rsid w:val="00697038"/>
    <w:rsid w:val="006A011A"/>
    <w:rsid w:val="006A1AAC"/>
    <w:rsid w:val="006A4B88"/>
    <w:rsid w:val="006A7C56"/>
    <w:rsid w:val="006B0D72"/>
    <w:rsid w:val="006B2A57"/>
    <w:rsid w:val="006B442F"/>
    <w:rsid w:val="006C069B"/>
    <w:rsid w:val="006C1AF5"/>
    <w:rsid w:val="006C40D5"/>
    <w:rsid w:val="006C4D1D"/>
    <w:rsid w:val="006C4D89"/>
    <w:rsid w:val="006D1657"/>
    <w:rsid w:val="006D1BBC"/>
    <w:rsid w:val="006D3691"/>
    <w:rsid w:val="006D572F"/>
    <w:rsid w:val="006E1C38"/>
    <w:rsid w:val="006E301B"/>
    <w:rsid w:val="006E422C"/>
    <w:rsid w:val="006E4B39"/>
    <w:rsid w:val="006E6C52"/>
    <w:rsid w:val="006E71D8"/>
    <w:rsid w:val="006F1230"/>
    <w:rsid w:val="006F3F55"/>
    <w:rsid w:val="006F4431"/>
    <w:rsid w:val="006F5178"/>
    <w:rsid w:val="006F74EB"/>
    <w:rsid w:val="00700B4B"/>
    <w:rsid w:val="00704D0F"/>
    <w:rsid w:val="00705BF7"/>
    <w:rsid w:val="007069A2"/>
    <w:rsid w:val="00716176"/>
    <w:rsid w:val="0071773E"/>
    <w:rsid w:val="00723433"/>
    <w:rsid w:val="007234EB"/>
    <w:rsid w:val="00724E2A"/>
    <w:rsid w:val="00724F7C"/>
    <w:rsid w:val="0072653B"/>
    <w:rsid w:val="00731987"/>
    <w:rsid w:val="00737A17"/>
    <w:rsid w:val="007401CC"/>
    <w:rsid w:val="00740D9F"/>
    <w:rsid w:val="00742063"/>
    <w:rsid w:val="007420E9"/>
    <w:rsid w:val="0074258B"/>
    <w:rsid w:val="00742E9D"/>
    <w:rsid w:val="00745A76"/>
    <w:rsid w:val="00746D1D"/>
    <w:rsid w:val="007568A9"/>
    <w:rsid w:val="00762192"/>
    <w:rsid w:val="007627F2"/>
    <w:rsid w:val="007678E6"/>
    <w:rsid w:val="00770AEE"/>
    <w:rsid w:val="0077389F"/>
    <w:rsid w:val="007750DF"/>
    <w:rsid w:val="00775F10"/>
    <w:rsid w:val="00776E9F"/>
    <w:rsid w:val="00776F83"/>
    <w:rsid w:val="007832E1"/>
    <w:rsid w:val="00784640"/>
    <w:rsid w:val="007858C5"/>
    <w:rsid w:val="00787343"/>
    <w:rsid w:val="00790207"/>
    <w:rsid w:val="00790710"/>
    <w:rsid w:val="00792D5D"/>
    <w:rsid w:val="00793C36"/>
    <w:rsid w:val="00794B8C"/>
    <w:rsid w:val="00797399"/>
    <w:rsid w:val="007A57EB"/>
    <w:rsid w:val="007A6375"/>
    <w:rsid w:val="007A6CC9"/>
    <w:rsid w:val="007A7917"/>
    <w:rsid w:val="007B053C"/>
    <w:rsid w:val="007B126D"/>
    <w:rsid w:val="007B1EFD"/>
    <w:rsid w:val="007B7268"/>
    <w:rsid w:val="007B74A1"/>
    <w:rsid w:val="007C0416"/>
    <w:rsid w:val="007C1E45"/>
    <w:rsid w:val="007C358D"/>
    <w:rsid w:val="007D0638"/>
    <w:rsid w:val="007D0823"/>
    <w:rsid w:val="007D17AA"/>
    <w:rsid w:val="007D3B6D"/>
    <w:rsid w:val="007D514A"/>
    <w:rsid w:val="007D53F0"/>
    <w:rsid w:val="007D655C"/>
    <w:rsid w:val="007D692C"/>
    <w:rsid w:val="007E14AE"/>
    <w:rsid w:val="007E3D87"/>
    <w:rsid w:val="007E46D4"/>
    <w:rsid w:val="007E67BF"/>
    <w:rsid w:val="007F0995"/>
    <w:rsid w:val="007F252C"/>
    <w:rsid w:val="007F4D37"/>
    <w:rsid w:val="008004EC"/>
    <w:rsid w:val="00804BD9"/>
    <w:rsid w:val="00804E1D"/>
    <w:rsid w:val="008068C4"/>
    <w:rsid w:val="00806CE4"/>
    <w:rsid w:val="00806F3D"/>
    <w:rsid w:val="00811E05"/>
    <w:rsid w:val="00816A71"/>
    <w:rsid w:val="0082483A"/>
    <w:rsid w:val="008248C4"/>
    <w:rsid w:val="008314CB"/>
    <w:rsid w:val="00832F31"/>
    <w:rsid w:val="008333F8"/>
    <w:rsid w:val="00833A4B"/>
    <w:rsid w:val="00833EEF"/>
    <w:rsid w:val="00834963"/>
    <w:rsid w:val="00847E30"/>
    <w:rsid w:val="00851C67"/>
    <w:rsid w:val="00852C8B"/>
    <w:rsid w:val="0085503A"/>
    <w:rsid w:val="00861F38"/>
    <w:rsid w:val="00862FAE"/>
    <w:rsid w:val="00871910"/>
    <w:rsid w:val="00872B43"/>
    <w:rsid w:val="00874D6D"/>
    <w:rsid w:val="00875DD4"/>
    <w:rsid w:val="008807B5"/>
    <w:rsid w:val="00880DA8"/>
    <w:rsid w:val="0088137D"/>
    <w:rsid w:val="00881513"/>
    <w:rsid w:val="00882E42"/>
    <w:rsid w:val="008862B1"/>
    <w:rsid w:val="00886D89"/>
    <w:rsid w:val="0089184B"/>
    <w:rsid w:val="00892037"/>
    <w:rsid w:val="008924CA"/>
    <w:rsid w:val="00892D81"/>
    <w:rsid w:val="00893793"/>
    <w:rsid w:val="008A6623"/>
    <w:rsid w:val="008B257C"/>
    <w:rsid w:val="008B2B0D"/>
    <w:rsid w:val="008B33F7"/>
    <w:rsid w:val="008B3EC4"/>
    <w:rsid w:val="008B4EB1"/>
    <w:rsid w:val="008C00CF"/>
    <w:rsid w:val="008C64CE"/>
    <w:rsid w:val="008C6688"/>
    <w:rsid w:val="008C753C"/>
    <w:rsid w:val="008D402E"/>
    <w:rsid w:val="008D5D62"/>
    <w:rsid w:val="008D6FDC"/>
    <w:rsid w:val="008E0254"/>
    <w:rsid w:val="008E555E"/>
    <w:rsid w:val="008E6700"/>
    <w:rsid w:val="008E7798"/>
    <w:rsid w:val="008F0675"/>
    <w:rsid w:val="008F0BD1"/>
    <w:rsid w:val="008F2A84"/>
    <w:rsid w:val="008F48D7"/>
    <w:rsid w:val="008F640F"/>
    <w:rsid w:val="008F64C5"/>
    <w:rsid w:val="008F6608"/>
    <w:rsid w:val="008F73B6"/>
    <w:rsid w:val="00900C47"/>
    <w:rsid w:val="00901945"/>
    <w:rsid w:val="00902AD3"/>
    <w:rsid w:val="00905429"/>
    <w:rsid w:val="00905AFF"/>
    <w:rsid w:val="00907281"/>
    <w:rsid w:val="00912049"/>
    <w:rsid w:val="009120DA"/>
    <w:rsid w:val="00912E11"/>
    <w:rsid w:val="00912F12"/>
    <w:rsid w:val="00916E59"/>
    <w:rsid w:val="00922BC9"/>
    <w:rsid w:val="009258D6"/>
    <w:rsid w:val="00930824"/>
    <w:rsid w:val="00934DFA"/>
    <w:rsid w:val="00935E78"/>
    <w:rsid w:val="00940151"/>
    <w:rsid w:val="00940CDB"/>
    <w:rsid w:val="009436C9"/>
    <w:rsid w:val="009450C5"/>
    <w:rsid w:val="009514F8"/>
    <w:rsid w:val="0095587A"/>
    <w:rsid w:val="00960EF7"/>
    <w:rsid w:val="00962569"/>
    <w:rsid w:val="00962E1E"/>
    <w:rsid w:val="00963610"/>
    <w:rsid w:val="0096755B"/>
    <w:rsid w:val="0097034B"/>
    <w:rsid w:val="0097047A"/>
    <w:rsid w:val="009729E1"/>
    <w:rsid w:val="00972B6F"/>
    <w:rsid w:val="0097560F"/>
    <w:rsid w:val="00975F4C"/>
    <w:rsid w:val="00977C9A"/>
    <w:rsid w:val="009805F3"/>
    <w:rsid w:val="0098254D"/>
    <w:rsid w:val="00982C46"/>
    <w:rsid w:val="00982D40"/>
    <w:rsid w:val="00983932"/>
    <w:rsid w:val="0098408E"/>
    <w:rsid w:val="00984F6A"/>
    <w:rsid w:val="0098509A"/>
    <w:rsid w:val="0098793D"/>
    <w:rsid w:val="0099074F"/>
    <w:rsid w:val="00993E50"/>
    <w:rsid w:val="0099484D"/>
    <w:rsid w:val="009955C9"/>
    <w:rsid w:val="0099666F"/>
    <w:rsid w:val="009A03C6"/>
    <w:rsid w:val="009A58B6"/>
    <w:rsid w:val="009B364C"/>
    <w:rsid w:val="009B4904"/>
    <w:rsid w:val="009B7870"/>
    <w:rsid w:val="009B79A0"/>
    <w:rsid w:val="009B7AAC"/>
    <w:rsid w:val="009C0289"/>
    <w:rsid w:val="009D14EB"/>
    <w:rsid w:val="009D3ADC"/>
    <w:rsid w:val="009D6120"/>
    <w:rsid w:val="009E3D83"/>
    <w:rsid w:val="009E42DF"/>
    <w:rsid w:val="009E441D"/>
    <w:rsid w:val="009E48DC"/>
    <w:rsid w:val="009E59E2"/>
    <w:rsid w:val="009E5DC9"/>
    <w:rsid w:val="009E66AB"/>
    <w:rsid w:val="009E725C"/>
    <w:rsid w:val="009E7836"/>
    <w:rsid w:val="009F0889"/>
    <w:rsid w:val="009F51D5"/>
    <w:rsid w:val="00A01C8D"/>
    <w:rsid w:val="00A01E1E"/>
    <w:rsid w:val="00A02087"/>
    <w:rsid w:val="00A02E32"/>
    <w:rsid w:val="00A03780"/>
    <w:rsid w:val="00A05503"/>
    <w:rsid w:val="00A12981"/>
    <w:rsid w:val="00A1472E"/>
    <w:rsid w:val="00A15245"/>
    <w:rsid w:val="00A20022"/>
    <w:rsid w:val="00A24357"/>
    <w:rsid w:val="00A251E9"/>
    <w:rsid w:val="00A2577F"/>
    <w:rsid w:val="00A264C6"/>
    <w:rsid w:val="00A27655"/>
    <w:rsid w:val="00A32EA6"/>
    <w:rsid w:val="00A354AC"/>
    <w:rsid w:val="00A40ABB"/>
    <w:rsid w:val="00A41096"/>
    <w:rsid w:val="00A4211F"/>
    <w:rsid w:val="00A44274"/>
    <w:rsid w:val="00A450CB"/>
    <w:rsid w:val="00A45857"/>
    <w:rsid w:val="00A53026"/>
    <w:rsid w:val="00A53443"/>
    <w:rsid w:val="00A54676"/>
    <w:rsid w:val="00A54B50"/>
    <w:rsid w:val="00A558CC"/>
    <w:rsid w:val="00A626E6"/>
    <w:rsid w:val="00A67929"/>
    <w:rsid w:val="00A767C4"/>
    <w:rsid w:val="00A76A96"/>
    <w:rsid w:val="00A80861"/>
    <w:rsid w:val="00A8407E"/>
    <w:rsid w:val="00A84358"/>
    <w:rsid w:val="00A85393"/>
    <w:rsid w:val="00A909F3"/>
    <w:rsid w:val="00A92011"/>
    <w:rsid w:val="00A945D3"/>
    <w:rsid w:val="00A94962"/>
    <w:rsid w:val="00A94AE8"/>
    <w:rsid w:val="00A95B25"/>
    <w:rsid w:val="00A95E3E"/>
    <w:rsid w:val="00A97D5D"/>
    <w:rsid w:val="00A97FCB"/>
    <w:rsid w:val="00AA0C1F"/>
    <w:rsid w:val="00AA1345"/>
    <w:rsid w:val="00AA1E48"/>
    <w:rsid w:val="00AA3996"/>
    <w:rsid w:val="00AA3C6D"/>
    <w:rsid w:val="00AA51A3"/>
    <w:rsid w:val="00AA51A9"/>
    <w:rsid w:val="00AA5596"/>
    <w:rsid w:val="00AA74C1"/>
    <w:rsid w:val="00AA79BB"/>
    <w:rsid w:val="00AB0AD8"/>
    <w:rsid w:val="00AB0FF7"/>
    <w:rsid w:val="00AB5799"/>
    <w:rsid w:val="00AB70AB"/>
    <w:rsid w:val="00AC30DB"/>
    <w:rsid w:val="00AC3A0A"/>
    <w:rsid w:val="00AC6705"/>
    <w:rsid w:val="00AC6F6F"/>
    <w:rsid w:val="00AD1B23"/>
    <w:rsid w:val="00AD2719"/>
    <w:rsid w:val="00AD356C"/>
    <w:rsid w:val="00AD3C2B"/>
    <w:rsid w:val="00AD583D"/>
    <w:rsid w:val="00AD5D04"/>
    <w:rsid w:val="00AD7301"/>
    <w:rsid w:val="00AD772A"/>
    <w:rsid w:val="00AE5D99"/>
    <w:rsid w:val="00AF12D2"/>
    <w:rsid w:val="00AF4D7B"/>
    <w:rsid w:val="00AF6A0D"/>
    <w:rsid w:val="00B05CC6"/>
    <w:rsid w:val="00B07AFE"/>
    <w:rsid w:val="00B11422"/>
    <w:rsid w:val="00B12B5B"/>
    <w:rsid w:val="00B137DD"/>
    <w:rsid w:val="00B167F0"/>
    <w:rsid w:val="00B21042"/>
    <w:rsid w:val="00B214AC"/>
    <w:rsid w:val="00B26CD6"/>
    <w:rsid w:val="00B27F7F"/>
    <w:rsid w:val="00B316D0"/>
    <w:rsid w:val="00B31C15"/>
    <w:rsid w:val="00B335C4"/>
    <w:rsid w:val="00B33E3E"/>
    <w:rsid w:val="00B36B54"/>
    <w:rsid w:val="00B36F66"/>
    <w:rsid w:val="00B37811"/>
    <w:rsid w:val="00B42793"/>
    <w:rsid w:val="00B44590"/>
    <w:rsid w:val="00B45E7C"/>
    <w:rsid w:val="00B46F64"/>
    <w:rsid w:val="00B503EF"/>
    <w:rsid w:val="00B51E07"/>
    <w:rsid w:val="00B55E00"/>
    <w:rsid w:val="00B60997"/>
    <w:rsid w:val="00B60DEA"/>
    <w:rsid w:val="00B640A1"/>
    <w:rsid w:val="00B67656"/>
    <w:rsid w:val="00B7045C"/>
    <w:rsid w:val="00B70C98"/>
    <w:rsid w:val="00B71B64"/>
    <w:rsid w:val="00B753F6"/>
    <w:rsid w:val="00B769E1"/>
    <w:rsid w:val="00B829EE"/>
    <w:rsid w:val="00B83A57"/>
    <w:rsid w:val="00B9037A"/>
    <w:rsid w:val="00B95C47"/>
    <w:rsid w:val="00BA140A"/>
    <w:rsid w:val="00BA4359"/>
    <w:rsid w:val="00BA4674"/>
    <w:rsid w:val="00BA7B06"/>
    <w:rsid w:val="00BB0FEF"/>
    <w:rsid w:val="00BB26F1"/>
    <w:rsid w:val="00BB3D37"/>
    <w:rsid w:val="00BB6904"/>
    <w:rsid w:val="00BC1CAA"/>
    <w:rsid w:val="00BC1EAE"/>
    <w:rsid w:val="00BC3144"/>
    <w:rsid w:val="00BC36AC"/>
    <w:rsid w:val="00BC68AE"/>
    <w:rsid w:val="00BD3E03"/>
    <w:rsid w:val="00BD7C6A"/>
    <w:rsid w:val="00BE3CA2"/>
    <w:rsid w:val="00BE55AB"/>
    <w:rsid w:val="00BF0470"/>
    <w:rsid w:val="00BF29C7"/>
    <w:rsid w:val="00BF7056"/>
    <w:rsid w:val="00C0073B"/>
    <w:rsid w:val="00C007FE"/>
    <w:rsid w:val="00C017EA"/>
    <w:rsid w:val="00C02352"/>
    <w:rsid w:val="00C054BC"/>
    <w:rsid w:val="00C07375"/>
    <w:rsid w:val="00C075E2"/>
    <w:rsid w:val="00C10A15"/>
    <w:rsid w:val="00C10D20"/>
    <w:rsid w:val="00C14CDC"/>
    <w:rsid w:val="00C15300"/>
    <w:rsid w:val="00C15502"/>
    <w:rsid w:val="00C17059"/>
    <w:rsid w:val="00C216FA"/>
    <w:rsid w:val="00C22AB6"/>
    <w:rsid w:val="00C23902"/>
    <w:rsid w:val="00C2452C"/>
    <w:rsid w:val="00C30A21"/>
    <w:rsid w:val="00C31461"/>
    <w:rsid w:val="00C372D7"/>
    <w:rsid w:val="00C37915"/>
    <w:rsid w:val="00C37F85"/>
    <w:rsid w:val="00C4036B"/>
    <w:rsid w:val="00C43461"/>
    <w:rsid w:val="00C44D20"/>
    <w:rsid w:val="00C4527E"/>
    <w:rsid w:val="00C465FF"/>
    <w:rsid w:val="00C46DEB"/>
    <w:rsid w:val="00C46E81"/>
    <w:rsid w:val="00C470ED"/>
    <w:rsid w:val="00C51DAA"/>
    <w:rsid w:val="00C526AE"/>
    <w:rsid w:val="00C57120"/>
    <w:rsid w:val="00C616F0"/>
    <w:rsid w:val="00C61DDD"/>
    <w:rsid w:val="00C6398D"/>
    <w:rsid w:val="00C660A8"/>
    <w:rsid w:val="00C75166"/>
    <w:rsid w:val="00C81082"/>
    <w:rsid w:val="00C8175A"/>
    <w:rsid w:val="00C822E1"/>
    <w:rsid w:val="00C82FD3"/>
    <w:rsid w:val="00C856A0"/>
    <w:rsid w:val="00C90A4D"/>
    <w:rsid w:val="00C90CFB"/>
    <w:rsid w:val="00C9177B"/>
    <w:rsid w:val="00C9544E"/>
    <w:rsid w:val="00C95722"/>
    <w:rsid w:val="00CA1818"/>
    <w:rsid w:val="00CA25B6"/>
    <w:rsid w:val="00CA289B"/>
    <w:rsid w:val="00CA4B00"/>
    <w:rsid w:val="00CB038F"/>
    <w:rsid w:val="00CB27C9"/>
    <w:rsid w:val="00CB4F7A"/>
    <w:rsid w:val="00CB5174"/>
    <w:rsid w:val="00CC34E4"/>
    <w:rsid w:val="00CC4676"/>
    <w:rsid w:val="00CC6BB7"/>
    <w:rsid w:val="00CD37C4"/>
    <w:rsid w:val="00CD5C8E"/>
    <w:rsid w:val="00CE1699"/>
    <w:rsid w:val="00CE3FF0"/>
    <w:rsid w:val="00CF220E"/>
    <w:rsid w:val="00CF2619"/>
    <w:rsid w:val="00CF34E1"/>
    <w:rsid w:val="00D0154E"/>
    <w:rsid w:val="00D03EFD"/>
    <w:rsid w:val="00D07A9A"/>
    <w:rsid w:val="00D11DDE"/>
    <w:rsid w:val="00D20EB6"/>
    <w:rsid w:val="00D233C2"/>
    <w:rsid w:val="00D2450A"/>
    <w:rsid w:val="00D33088"/>
    <w:rsid w:val="00D373A8"/>
    <w:rsid w:val="00D41DC5"/>
    <w:rsid w:val="00D42B4D"/>
    <w:rsid w:val="00D42E3E"/>
    <w:rsid w:val="00D44681"/>
    <w:rsid w:val="00D453DA"/>
    <w:rsid w:val="00D47215"/>
    <w:rsid w:val="00D51C68"/>
    <w:rsid w:val="00D54D1A"/>
    <w:rsid w:val="00D55EC4"/>
    <w:rsid w:val="00D560EE"/>
    <w:rsid w:val="00D56568"/>
    <w:rsid w:val="00D565AC"/>
    <w:rsid w:val="00D56A46"/>
    <w:rsid w:val="00D65CAF"/>
    <w:rsid w:val="00D6617D"/>
    <w:rsid w:val="00D6779A"/>
    <w:rsid w:val="00D67AFD"/>
    <w:rsid w:val="00D67EC2"/>
    <w:rsid w:val="00D71039"/>
    <w:rsid w:val="00D71517"/>
    <w:rsid w:val="00D7253A"/>
    <w:rsid w:val="00D73F13"/>
    <w:rsid w:val="00D764BE"/>
    <w:rsid w:val="00D76EEC"/>
    <w:rsid w:val="00D8021B"/>
    <w:rsid w:val="00D817F9"/>
    <w:rsid w:val="00D81920"/>
    <w:rsid w:val="00D831D1"/>
    <w:rsid w:val="00D84B77"/>
    <w:rsid w:val="00D86F42"/>
    <w:rsid w:val="00D87190"/>
    <w:rsid w:val="00D90397"/>
    <w:rsid w:val="00D93611"/>
    <w:rsid w:val="00D93D43"/>
    <w:rsid w:val="00D94C9A"/>
    <w:rsid w:val="00D9629F"/>
    <w:rsid w:val="00D97C6D"/>
    <w:rsid w:val="00DA4BFC"/>
    <w:rsid w:val="00DA722B"/>
    <w:rsid w:val="00DA73F9"/>
    <w:rsid w:val="00DB1849"/>
    <w:rsid w:val="00DB1E2D"/>
    <w:rsid w:val="00DB3254"/>
    <w:rsid w:val="00DB3B29"/>
    <w:rsid w:val="00DB7FE8"/>
    <w:rsid w:val="00DC1E6A"/>
    <w:rsid w:val="00DC1FB9"/>
    <w:rsid w:val="00DD6CEC"/>
    <w:rsid w:val="00DD7998"/>
    <w:rsid w:val="00DE0804"/>
    <w:rsid w:val="00DE4BD8"/>
    <w:rsid w:val="00DE6B12"/>
    <w:rsid w:val="00DF1742"/>
    <w:rsid w:val="00DF241A"/>
    <w:rsid w:val="00DF44F1"/>
    <w:rsid w:val="00DF629F"/>
    <w:rsid w:val="00E02AFC"/>
    <w:rsid w:val="00E03BCB"/>
    <w:rsid w:val="00E04F39"/>
    <w:rsid w:val="00E077E2"/>
    <w:rsid w:val="00E0789A"/>
    <w:rsid w:val="00E125F9"/>
    <w:rsid w:val="00E13AB7"/>
    <w:rsid w:val="00E163D0"/>
    <w:rsid w:val="00E2533C"/>
    <w:rsid w:val="00E2599B"/>
    <w:rsid w:val="00E273D6"/>
    <w:rsid w:val="00E27D22"/>
    <w:rsid w:val="00E3450D"/>
    <w:rsid w:val="00E348EC"/>
    <w:rsid w:val="00E35F2F"/>
    <w:rsid w:val="00E364C9"/>
    <w:rsid w:val="00E4085E"/>
    <w:rsid w:val="00E42BA0"/>
    <w:rsid w:val="00E4334B"/>
    <w:rsid w:val="00E43D19"/>
    <w:rsid w:val="00E45C98"/>
    <w:rsid w:val="00E46DF6"/>
    <w:rsid w:val="00E5107F"/>
    <w:rsid w:val="00E51439"/>
    <w:rsid w:val="00E53B89"/>
    <w:rsid w:val="00E56962"/>
    <w:rsid w:val="00E578AE"/>
    <w:rsid w:val="00E57A47"/>
    <w:rsid w:val="00E601B8"/>
    <w:rsid w:val="00E62D1D"/>
    <w:rsid w:val="00E70D0B"/>
    <w:rsid w:val="00E72FED"/>
    <w:rsid w:val="00E74010"/>
    <w:rsid w:val="00E74AC3"/>
    <w:rsid w:val="00E74B85"/>
    <w:rsid w:val="00E754E5"/>
    <w:rsid w:val="00E768D5"/>
    <w:rsid w:val="00E77614"/>
    <w:rsid w:val="00E8294F"/>
    <w:rsid w:val="00E82BF7"/>
    <w:rsid w:val="00E83305"/>
    <w:rsid w:val="00E83358"/>
    <w:rsid w:val="00E836C0"/>
    <w:rsid w:val="00E84F14"/>
    <w:rsid w:val="00E8585E"/>
    <w:rsid w:val="00E858AC"/>
    <w:rsid w:val="00E875D1"/>
    <w:rsid w:val="00E92F09"/>
    <w:rsid w:val="00E93613"/>
    <w:rsid w:val="00E95435"/>
    <w:rsid w:val="00E95CC7"/>
    <w:rsid w:val="00EA07DD"/>
    <w:rsid w:val="00EA20CB"/>
    <w:rsid w:val="00EA4FB9"/>
    <w:rsid w:val="00EA5ED0"/>
    <w:rsid w:val="00EA643D"/>
    <w:rsid w:val="00EA6885"/>
    <w:rsid w:val="00EA7FEE"/>
    <w:rsid w:val="00EB051B"/>
    <w:rsid w:val="00EB0A15"/>
    <w:rsid w:val="00EB237D"/>
    <w:rsid w:val="00EB2A5E"/>
    <w:rsid w:val="00EB3A8D"/>
    <w:rsid w:val="00EC3AFD"/>
    <w:rsid w:val="00EC4BF5"/>
    <w:rsid w:val="00EC7030"/>
    <w:rsid w:val="00EC72AC"/>
    <w:rsid w:val="00EC77FB"/>
    <w:rsid w:val="00EC7FA2"/>
    <w:rsid w:val="00ED04B8"/>
    <w:rsid w:val="00ED0D6F"/>
    <w:rsid w:val="00ED1BA7"/>
    <w:rsid w:val="00ED2D50"/>
    <w:rsid w:val="00ED443D"/>
    <w:rsid w:val="00ED4E32"/>
    <w:rsid w:val="00EE0B64"/>
    <w:rsid w:val="00EE41F8"/>
    <w:rsid w:val="00EF4F48"/>
    <w:rsid w:val="00EF5548"/>
    <w:rsid w:val="00F015BD"/>
    <w:rsid w:val="00F02797"/>
    <w:rsid w:val="00F035FC"/>
    <w:rsid w:val="00F036C8"/>
    <w:rsid w:val="00F05FC1"/>
    <w:rsid w:val="00F062C6"/>
    <w:rsid w:val="00F10599"/>
    <w:rsid w:val="00F10B80"/>
    <w:rsid w:val="00F13E3A"/>
    <w:rsid w:val="00F14628"/>
    <w:rsid w:val="00F163A0"/>
    <w:rsid w:val="00F17978"/>
    <w:rsid w:val="00F23C9D"/>
    <w:rsid w:val="00F251E2"/>
    <w:rsid w:val="00F2525B"/>
    <w:rsid w:val="00F26B36"/>
    <w:rsid w:val="00F34677"/>
    <w:rsid w:val="00F35961"/>
    <w:rsid w:val="00F3684C"/>
    <w:rsid w:val="00F41AAA"/>
    <w:rsid w:val="00F431BD"/>
    <w:rsid w:val="00F44781"/>
    <w:rsid w:val="00F44B7F"/>
    <w:rsid w:val="00F45D4E"/>
    <w:rsid w:val="00F47F29"/>
    <w:rsid w:val="00F5077D"/>
    <w:rsid w:val="00F519EE"/>
    <w:rsid w:val="00F52448"/>
    <w:rsid w:val="00F5318A"/>
    <w:rsid w:val="00F623FE"/>
    <w:rsid w:val="00F62947"/>
    <w:rsid w:val="00F62AEA"/>
    <w:rsid w:val="00F640D9"/>
    <w:rsid w:val="00F64DF7"/>
    <w:rsid w:val="00F6535E"/>
    <w:rsid w:val="00F66AF9"/>
    <w:rsid w:val="00F74224"/>
    <w:rsid w:val="00F75810"/>
    <w:rsid w:val="00F763FF"/>
    <w:rsid w:val="00F77C26"/>
    <w:rsid w:val="00F80473"/>
    <w:rsid w:val="00F8200F"/>
    <w:rsid w:val="00F82646"/>
    <w:rsid w:val="00F869A1"/>
    <w:rsid w:val="00F909F0"/>
    <w:rsid w:val="00F91D5E"/>
    <w:rsid w:val="00F91F6B"/>
    <w:rsid w:val="00F93D3A"/>
    <w:rsid w:val="00F96412"/>
    <w:rsid w:val="00FA125E"/>
    <w:rsid w:val="00FA4F8C"/>
    <w:rsid w:val="00FB0C88"/>
    <w:rsid w:val="00FB3173"/>
    <w:rsid w:val="00FB35C4"/>
    <w:rsid w:val="00FC0163"/>
    <w:rsid w:val="00FC22EE"/>
    <w:rsid w:val="00FC681B"/>
    <w:rsid w:val="00FD1201"/>
    <w:rsid w:val="00FD13A0"/>
    <w:rsid w:val="00FD1A4F"/>
    <w:rsid w:val="00FD3CDA"/>
    <w:rsid w:val="00FD67A7"/>
    <w:rsid w:val="00FE19D9"/>
    <w:rsid w:val="00FE1ECA"/>
    <w:rsid w:val="00FE2934"/>
    <w:rsid w:val="00FE4EAA"/>
    <w:rsid w:val="00FE5777"/>
    <w:rsid w:val="00FF0EAD"/>
    <w:rsid w:val="00FF5F33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F87DE-8E13-4587-B191-8BD17AEA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F6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3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E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5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9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9E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19E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9EE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6E422C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E422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2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B335C4"/>
    <w:pPr>
      <w:ind w:left="720"/>
      <w:contextualSpacing/>
    </w:pPr>
  </w:style>
  <w:style w:type="table" w:styleId="TableGrid">
    <w:name w:val="Table Grid"/>
    <w:basedOn w:val="TableNormal"/>
    <w:uiPriority w:val="59"/>
    <w:rsid w:val="00582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D3E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D3E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57120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571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712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571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587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B754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64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64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64C5"/>
    <w:rPr>
      <w:vertAlign w:val="superscript"/>
    </w:rPr>
  </w:style>
  <w:style w:type="paragraph" w:styleId="TOC3">
    <w:name w:val="toc 3"/>
    <w:basedOn w:val="Normal"/>
    <w:next w:val="Normal"/>
    <w:autoRedefine/>
    <w:uiPriority w:val="39"/>
    <w:unhideWhenUsed/>
    <w:rsid w:val="00226578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numbering" Target="numbering.xml"/><Relationship Id="rId21" Type="http://schemas.openxmlformats.org/officeDocument/2006/relationships/hyperlink" Target="mailto:Daniel.kiryakov@bmgk-bg.org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hart" Target="charts/chart8.xml"/><Relationship Id="rId20" Type="http://schemas.openxmlformats.org/officeDocument/2006/relationships/hyperlink" Target="http://www.embf.e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1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1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aniel%20Kiryakov\Documents\&#1042;&#1098;&#1090;&#1088;&#1077;&#1096;&#1085;&#1072;%20&#1082;&#1086;&#1084;&#1091;&#1085;&#1080;&#1082;&#1072;&#1094;&#1080;&#1103;%20-%20&#1041;&#1052;&#1043;&#1050;\&#1054;&#1057;\160414%20&#1054;&#1057;\&#1040;&#1085;&#1082;&#1077;&#1090;&#1072;\160421%20&#1040;&#1085;&#1082;&#1077;&#1090;&#1072;%20&#1089;&#1088;&#1077;&#1076;%20&#1095;&#1083;&#1077;&#1085;&#1086;&#1074;&#1077;&#1090;&#1077;%20&#1086;&#1090;%20&#1054;&#1057;%20-%20&#1086;&#1073;&#1086;&#1073;&#1097;&#1077;&#1085;&#1080;&#1077;%20&#1085;&#1072;%20&#1088;&#1077;&#1079;&#1091;&#1083;&#1090;&#1072;&#1090;&#1080;&#1090;&#1077;%20&#1074;.2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Какви са очакванията Ви за бизнес климата през 2016 г.?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>
        <c:manualLayout>
          <c:layoutTarget val="inner"/>
          <c:xMode val="edge"/>
          <c:yMode val="edge"/>
          <c:x val="0.41715214289488972"/>
          <c:y val="0.24423961710668515"/>
          <c:w val="0.19881185153869185"/>
          <c:h val="0.67732901034429516"/>
        </c:manualLayout>
      </c:layout>
      <c:doughnutChart>
        <c:varyColors val="1"/>
        <c:ser>
          <c:idx val="0"/>
          <c:order val="0"/>
          <c:tx>
            <c:strRef>
              <c:f>'Резултати и графики 2016'!$C$91</c:f>
              <c:strCache>
                <c:ptCount val="1"/>
                <c:pt idx="0">
                  <c:v>2016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 w="12700">
                      <a:solidFill>
                        <a:schemeClr val="tx1"/>
                      </a:solidFill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'Резултати и графики 2016'!$A$92:$A$95</c:f>
              <c:strCache>
                <c:ptCount val="4"/>
                <c:pt idx="0">
                  <c:v>Много добри</c:v>
                </c:pt>
                <c:pt idx="1">
                  <c:v>Умерено позитивни</c:v>
                </c:pt>
                <c:pt idx="2">
                  <c:v>По-скоро негативни</c:v>
                </c:pt>
                <c:pt idx="3">
                  <c:v>Много песимистични</c:v>
                </c:pt>
              </c:strCache>
            </c:strRef>
          </c:cat>
          <c:val>
            <c:numRef>
              <c:f>'Резултати и графики 2016'!$C$92:$C$95</c:f>
              <c:numCache>
                <c:formatCode>0%</c:formatCode>
                <c:ptCount val="4"/>
                <c:pt idx="0">
                  <c:v>0</c:v>
                </c:pt>
                <c:pt idx="1">
                  <c:v>0.75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r>
              <a:rPr lang="bg-BG" sz="1200" b="1">
                <a:latin typeface="Arial Narrow" panose="020B0606020202030204" pitchFamily="34" charset="0"/>
              </a:rPr>
              <a:t>Попадали ли сте в корупционни схеми през 2015 г. и в какви институции/организации?</a:t>
            </a:r>
            <a:endParaRPr lang="en-US" sz="1200" b="1">
              <a:latin typeface="Arial Narrow" panose="020B060602020203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 Narrow" panose="020B0606020202030204" pitchFamily="34" charset="0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'Резултати и графики 2016'!$C$52</c:f>
              <c:strCache>
                <c:ptCount val="1"/>
                <c:pt idx="0">
                  <c:v>2016</c:v>
                </c:pt>
              </c:strCache>
            </c:strRef>
          </c:tx>
          <c:explosion val="3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'Резултати и графики 2016'!$A$53:$A$58</c:f>
              <c:strCache>
                <c:ptCount val="6"/>
                <c:pt idx="0">
                  <c:v>Държавни </c:v>
                </c:pt>
                <c:pt idx="1">
                  <c:v>Областни  </c:v>
                </c:pt>
                <c:pt idx="2">
                  <c:v>Общински</c:v>
                </c:pt>
                <c:pt idx="3">
                  <c:v>НПО</c:v>
                </c:pt>
                <c:pt idx="4">
                  <c:v>Други</c:v>
                </c:pt>
                <c:pt idx="5">
                  <c:v>Не съм попадал в корупционни схеми</c:v>
                </c:pt>
              </c:strCache>
            </c:strRef>
          </c:cat>
          <c:val>
            <c:numRef>
              <c:f>'Резултати и графики 2016'!$C$53:$C$58</c:f>
              <c:numCache>
                <c:formatCode>0%</c:formatCode>
                <c:ptCount val="6"/>
                <c:pt idx="0">
                  <c:v>3.4482758620689655E-2</c:v>
                </c:pt>
                <c:pt idx="1">
                  <c:v>0</c:v>
                </c:pt>
                <c:pt idx="2">
                  <c:v>3.4482758620689655E-2</c:v>
                </c:pt>
                <c:pt idx="3">
                  <c:v>0.10344827586206896</c:v>
                </c:pt>
                <c:pt idx="4">
                  <c:v>3.4482758620689655E-2</c:v>
                </c:pt>
                <c:pt idx="5">
                  <c:v>0.7931034482758621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 Narrow" panose="020B0606020202030204" pitchFamily="34" charset="0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Попадали ли сте в корупционни схеми през изминалата година в какви институции/организации?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'Резултати и графики 2016'!$C$52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2016'!$A$53:$A$58</c:f>
              <c:strCache>
                <c:ptCount val="6"/>
                <c:pt idx="0">
                  <c:v>Държавни </c:v>
                </c:pt>
                <c:pt idx="1">
                  <c:v>Областни  </c:v>
                </c:pt>
                <c:pt idx="2">
                  <c:v>Общински</c:v>
                </c:pt>
                <c:pt idx="3">
                  <c:v>НПО</c:v>
                </c:pt>
                <c:pt idx="4">
                  <c:v>Други</c:v>
                </c:pt>
                <c:pt idx="5">
                  <c:v>Не съм попадал в корупционни схеми</c:v>
                </c:pt>
              </c:strCache>
            </c:strRef>
          </c:cat>
          <c:val>
            <c:numRef>
              <c:f>'Резултати и графики 2016'!$C$53:$C$58</c:f>
              <c:numCache>
                <c:formatCode>0%</c:formatCode>
                <c:ptCount val="6"/>
                <c:pt idx="0">
                  <c:v>3.4482758620689655E-2</c:v>
                </c:pt>
                <c:pt idx="1">
                  <c:v>0</c:v>
                </c:pt>
                <c:pt idx="2">
                  <c:v>3.4482758620689655E-2</c:v>
                </c:pt>
                <c:pt idx="3">
                  <c:v>0.10344827586206896</c:v>
                </c:pt>
                <c:pt idx="4">
                  <c:v>3.4482758620689655E-2</c:v>
                </c:pt>
                <c:pt idx="5">
                  <c:v>0.7931034482758621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2016'!$E$52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2016'!$A$53:$A$58</c:f>
              <c:strCache>
                <c:ptCount val="6"/>
                <c:pt idx="0">
                  <c:v>Държавни </c:v>
                </c:pt>
                <c:pt idx="1">
                  <c:v>Областни  </c:v>
                </c:pt>
                <c:pt idx="2">
                  <c:v>Общински</c:v>
                </c:pt>
                <c:pt idx="3">
                  <c:v>НПО</c:v>
                </c:pt>
                <c:pt idx="4">
                  <c:v>Други</c:v>
                </c:pt>
                <c:pt idx="5">
                  <c:v>Не съм попадал в корупционни схеми</c:v>
                </c:pt>
              </c:strCache>
            </c:strRef>
          </c:cat>
          <c:val>
            <c:numRef>
              <c:f>'Резултати и графики 2016'!$E$53:$E$58</c:f>
              <c:numCache>
                <c:formatCode>0%</c:formatCode>
                <c:ptCount val="6"/>
                <c:pt idx="0">
                  <c:v>0.11764705882352941</c:v>
                </c:pt>
                <c:pt idx="1">
                  <c:v>2.9411764705882353E-2</c:v>
                </c:pt>
                <c:pt idx="2">
                  <c:v>8.8235294117647065E-2</c:v>
                </c:pt>
                <c:pt idx="3">
                  <c:v>0</c:v>
                </c:pt>
                <c:pt idx="4">
                  <c:v>2.9411764705882353E-2</c:v>
                </c:pt>
                <c:pt idx="5">
                  <c:v>0.73529411764705888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2016'!$G$52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accent3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2016'!$A$53:$A$58</c:f>
              <c:strCache>
                <c:ptCount val="6"/>
                <c:pt idx="0">
                  <c:v>Държавни </c:v>
                </c:pt>
                <c:pt idx="1">
                  <c:v>Областни  </c:v>
                </c:pt>
                <c:pt idx="2">
                  <c:v>Общински</c:v>
                </c:pt>
                <c:pt idx="3">
                  <c:v>НПО</c:v>
                </c:pt>
                <c:pt idx="4">
                  <c:v>Други</c:v>
                </c:pt>
                <c:pt idx="5">
                  <c:v>Не съм попадал в корупционни схеми</c:v>
                </c:pt>
              </c:strCache>
            </c:strRef>
          </c:cat>
          <c:val>
            <c:numRef>
              <c:f>'Резултати и графики 2016'!$G$53:$G$58</c:f>
              <c:numCache>
                <c:formatCode>0%</c:formatCode>
                <c:ptCount val="6"/>
                <c:pt idx="0">
                  <c:v>5.8823529411764705E-2</c:v>
                </c:pt>
                <c:pt idx="1">
                  <c:v>0</c:v>
                </c:pt>
                <c:pt idx="2">
                  <c:v>8.8235294117647065E-2</c:v>
                </c:pt>
                <c:pt idx="3">
                  <c:v>0</c:v>
                </c:pt>
                <c:pt idx="4">
                  <c:v>2.9411764705882353E-2</c:v>
                </c:pt>
                <c:pt idx="5">
                  <c:v>0.82352941176470584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20010784"/>
        <c:axId val="1020019488"/>
      </c:barChart>
      <c:catAx>
        <c:axId val="1020010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19488"/>
        <c:crosses val="autoZero"/>
        <c:auto val="1"/>
        <c:lblAlgn val="ctr"/>
        <c:lblOffset val="100"/>
        <c:noMultiLvlLbl val="0"/>
      </c:catAx>
      <c:valAx>
        <c:axId val="1020019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10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 i="0" baseline="0">
                <a:effectLst/>
              </a:rPr>
              <a:t>Какви са очакванията Ви за бизнес климата през настоящата година (сравнение 2014, 2015, 2016 г.)</a:t>
            </a:r>
            <a:endParaRPr lang="bg-BG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'Резултати и графики 2016'!$C$91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'Резултати и графики 2016'!$A$92:$A$95</c:f>
              <c:strCache>
                <c:ptCount val="4"/>
                <c:pt idx="0">
                  <c:v>Много добри</c:v>
                </c:pt>
                <c:pt idx="1">
                  <c:v>Умерено позитивни</c:v>
                </c:pt>
                <c:pt idx="2">
                  <c:v>По-скоро негативни</c:v>
                </c:pt>
                <c:pt idx="3">
                  <c:v>Много песимистични</c:v>
                </c:pt>
              </c:strCache>
            </c:strRef>
          </c:cat>
          <c:val>
            <c:numRef>
              <c:f>'Резултати и графики 2016'!$C$92:$C$95</c:f>
              <c:numCache>
                <c:formatCode>0%</c:formatCode>
                <c:ptCount val="4"/>
                <c:pt idx="0">
                  <c:v>0</c:v>
                </c:pt>
                <c:pt idx="1">
                  <c:v>0.75</c:v>
                </c:pt>
                <c:pt idx="2">
                  <c:v>0.25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2016'!$E$91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'Резултати и графики 2016'!$A$92:$A$95</c:f>
              <c:strCache>
                <c:ptCount val="4"/>
                <c:pt idx="0">
                  <c:v>Много добри</c:v>
                </c:pt>
                <c:pt idx="1">
                  <c:v>Умерено позитивни</c:v>
                </c:pt>
                <c:pt idx="2">
                  <c:v>По-скоро негативни</c:v>
                </c:pt>
                <c:pt idx="3">
                  <c:v>Много песимистични</c:v>
                </c:pt>
              </c:strCache>
            </c:strRef>
          </c:cat>
          <c:val>
            <c:numRef>
              <c:f>'Резултати и графики 2016'!$E$92:$E$95</c:f>
              <c:numCache>
                <c:formatCode>0%</c:formatCode>
                <c:ptCount val="4"/>
                <c:pt idx="0">
                  <c:v>2.7777777777777776E-2</c:v>
                </c:pt>
                <c:pt idx="1">
                  <c:v>0.80555555555555558</c:v>
                </c:pt>
                <c:pt idx="2">
                  <c:v>0.1388888888888889</c:v>
                </c:pt>
                <c:pt idx="3">
                  <c:v>2.7777777777777776E-2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2016'!$G$91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'Резултати и графики 2016'!$A$92:$A$95</c:f>
              <c:strCache>
                <c:ptCount val="4"/>
                <c:pt idx="0">
                  <c:v>Много добри</c:v>
                </c:pt>
                <c:pt idx="1">
                  <c:v>Умерено позитивни</c:v>
                </c:pt>
                <c:pt idx="2">
                  <c:v>По-скоро негативни</c:v>
                </c:pt>
                <c:pt idx="3">
                  <c:v>Много песимистични</c:v>
                </c:pt>
              </c:strCache>
            </c:strRef>
          </c:cat>
          <c:val>
            <c:numRef>
              <c:f>'Резултати и графики 2016'!$G$92:$G$95</c:f>
              <c:numCache>
                <c:formatCode>0%</c:formatCode>
                <c:ptCount val="4"/>
                <c:pt idx="0">
                  <c:v>9.0909090909090912E-2</c:v>
                </c:pt>
                <c:pt idx="1">
                  <c:v>0.69696969696969702</c:v>
                </c:pt>
                <c:pt idx="2">
                  <c:v>0.15151515151515152</c:v>
                </c:pt>
                <c:pt idx="3">
                  <c:v>6.0606060606060608E-2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20009696"/>
        <c:axId val="1020021120"/>
      </c:barChart>
      <c:catAx>
        <c:axId val="10200096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21120"/>
        <c:crosses val="autoZero"/>
        <c:auto val="1"/>
        <c:lblAlgn val="ctr"/>
        <c:lblOffset val="100"/>
        <c:noMultiLvlLbl val="0"/>
      </c:catAx>
      <c:valAx>
        <c:axId val="10200211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096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През 2016 г. имате намерение да: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>
        <c:manualLayout>
          <c:layoutTarget val="inner"/>
          <c:xMode val="edge"/>
          <c:yMode val="edge"/>
          <c:x val="0.22464477306190384"/>
          <c:y val="0.19303014395927784"/>
          <c:w val="0.49217369779997011"/>
          <c:h val="0.6114885336302659"/>
        </c:manualLayout>
      </c:layout>
      <c:doughnutChart>
        <c:varyColors val="1"/>
        <c:ser>
          <c:idx val="0"/>
          <c:order val="0"/>
          <c:tx>
            <c:strRef>
              <c:f>'Резултати и графики 2016'!$C$97</c:f>
              <c:strCache>
                <c:ptCount val="1"/>
                <c:pt idx="0">
                  <c:v>2016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17161716171617153"/>
                  <c:y val="-0.1223529411764706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6501650165016502"/>
                  <c:y val="-4.705882352941176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5841584158415842"/>
                  <c:y val="1.882352941176464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0450994947775933"/>
                  <c:y val="9.411770219406087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217894714380209"/>
                      <c:h val="0.1276726360532367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6.2785372065151529E-4"/>
                  <c:y val="0.14814815673497797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bg-BG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7485478949277681"/>
                      <c:h val="0.12767254295642191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0.23762376237623761"/>
                  <c:y val="5.019607843137254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7821782178217821"/>
                  <c:y val="2.196078431372549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5841584158415842"/>
                  <c:y val="-4.705882352941176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4301430143014301"/>
                  <c:y val="-5.647058823529414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10781078107810781"/>
                  <c:y val="-0.1286274509803921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7.3712737127371197E-2"/>
                  <c:y val="-8.888888888888889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'Резултати и графики 2016'!$A$98:$A$108</c:f>
              <c:strCache>
                <c:ptCount val="11"/>
                <c:pt idx="0">
                  <c:v>Увеличите производството си</c:v>
                </c:pt>
                <c:pt idx="1">
                  <c:v>Намалите производството си </c:v>
                </c:pt>
                <c:pt idx="2">
                  <c:v>Запазите производството си на нивото от 2015 г.</c:v>
                </c:pt>
                <c:pt idx="3">
                  <c:v>Увеличите инвестиционната си програма</c:v>
                </c:pt>
                <c:pt idx="4">
                  <c:v>Намалите инвестиционната си програма</c:v>
                </c:pt>
                <c:pt idx="5">
                  <c:v>Търсите нови канали за продажба</c:v>
                </c:pt>
                <c:pt idx="6">
                  <c:v>Увеличите персонала</c:v>
                </c:pt>
                <c:pt idx="7">
                  <c:v>Съкратите персонала </c:v>
                </c:pt>
                <c:pt idx="8">
                  <c:v>Запазите персонала</c:v>
                </c:pt>
                <c:pt idx="9">
                  <c:v>Вземете кредит</c:v>
                </c:pt>
                <c:pt idx="10">
                  <c:v>Друго</c:v>
                </c:pt>
              </c:strCache>
            </c:strRef>
          </c:cat>
          <c:val>
            <c:numRef>
              <c:f>'Резултати и графики 2016'!$C$98:$C$108</c:f>
              <c:numCache>
                <c:formatCode>0%</c:formatCode>
                <c:ptCount val="11"/>
                <c:pt idx="0">
                  <c:v>0.14285714285714285</c:v>
                </c:pt>
                <c:pt idx="1">
                  <c:v>1.5873015873015872E-2</c:v>
                </c:pt>
                <c:pt idx="2">
                  <c:v>0.12698412698412698</c:v>
                </c:pt>
                <c:pt idx="3">
                  <c:v>0.15873015873015872</c:v>
                </c:pt>
                <c:pt idx="4">
                  <c:v>4.7619047619047616E-2</c:v>
                </c:pt>
                <c:pt idx="5">
                  <c:v>0.15873015873015872</c:v>
                </c:pt>
                <c:pt idx="6">
                  <c:v>0.14285714285714285</c:v>
                </c:pt>
                <c:pt idx="7">
                  <c:v>1.5873015873015872E-2</c:v>
                </c:pt>
                <c:pt idx="8">
                  <c:v>0.12698412698412698</c:v>
                </c:pt>
                <c:pt idx="9">
                  <c:v>4.7619047619047616E-2</c:v>
                </c:pt>
                <c:pt idx="10">
                  <c:v>1.5873015873015872E-2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Какви инвестиции планирате през 2016 г.?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'Общи данни 2016'!$AK$100</c:f>
              <c:strCache>
                <c:ptCount val="1"/>
                <c:pt idx="0">
                  <c:v>2016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25454545454545441"/>
                  <c:y val="-7.235462233887431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54291663955229"/>
                      <c:h val="0.18369703787026623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0.16528925619834711"/>
                  <c:y val="-4.193109194683997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6308539944903566"/>
                  <c:y val="-0.1078041911427738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4022038567493112"/>
                  <c:y val="-8.227504895221431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23581267217630847"/>
                  <c:y val="3.703703703703703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0523415977961426E-2"/>
                  <c:y val="0.1894179894179894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6528925619834711"/>
                  <c:y val="0.2066138399366744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25785123966942147"/>
                  <c:y val="0.1334656501270674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31294765840220395"/>
                  <c:y val="-6.349206349206350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738127155593154"/>
                      <c:h val="0.20062825480148311"/>
                    </c:manualLayout>
                  </c15:layout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'Общи данни 2016'!$A$101:$A$109</c:f>
              <c:strCache>
                <c:ptCount val="9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Иновации</c:v>
                </c:pt>
                <c:pt idx="6">
                  <c:v>Подобряване условията на труд </c:v>
                </c:pt>
                <c:pt idx="7">
                  <c:v>Разширяване на производството</c:v>
                </c:pt>
                <c:pt idx="8">
                  <c:v>Разширяване на външно-търговска дейност</c:v>
                </c:pt>
              </c:strCache>
            </c:strRef>
          </c:cat>
          <c:val>
            <c:numRef>
              <c:f>'Общи данни 2016'!$AK$101:$AK$109</c:f>
              <c:numCache>
                <c:formatCode>0%</c:formatCode>
                <c:ptCount val="9"/>
                <c:pt idx="0">
                  <c:v>0.10679611650485436</c:v>
                </c:pt>
                <c:pt idx="1">
                  <c:v>0.1553398058252427</c:v>
                </c:pt>
                <c:pt idx="2">
                  <c:v>6.7961165048543687E-2</c:v>
                </c:pt>
                <c:pt idx="3">
                  <c:v>9.7087378640776698E-2</c:v>
                </c:pt>
                <c:pt idx="4">
                  <c:v>0.14563106796116504</c:v>
                </c:pt>
                <c:pt idx="5">
                  <c:v>0.12621359223300971</c:v>
                </c:pt>
                <c:pt idx="6">
                  <c:v>0.13592233009708737</c:v>
                </c:pt>
                <c:pt idx="7">
                  <c:v>0.10679611650485436</c:v>
                </c:pt>
                <c:pt idx="8">
                  <c:v>4.8543689320388349E-2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Какви</a:t>
            </a:r>
            <a:r>
              <a:rPr lang="bg-BG" sz="1200" b="1" baseline="0"/>
              <a:t> инвестиции планирате през настоящата година?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'Резултати и графики 2016'!$C$110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2016'!$A$111:$A$120</c:f>
              <c:strCache>
                <c:ptCount val="10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Иновации</c:v>
                </c:pt>
                <c:pt idx="6">
                  <c:v>Подобряване условията на труд </c:v>
                </c:pt>
                <c:pt idx="7">
                  <c:v>Разширяване на производството</c:v>
                </c:pt>
                <c:pt idx="8">
                  <c:v>Разширяване на външно-търговска дейност</c:v>
                </c:pt>
                <c:pt idx="9">
                  <c:v>Друго</c:v>
                </c:pt>
              </c:strCache>
            </c:strRef>
          </c:cat>
          <c:val>
            <c:numRef>
              <c:f>'Резултати и графики 2016'!$C$111:$C$120</c:f>
              <c:numCache>
                <c:formatCode>0%</c:formatCode>
                <c:ptCount val="10"/>
                <c:pt idx="0">
                  <c:v>0.10679611650485436</c:v>
                </c:pt>
                <c:pt idx="1">
                  <c:v>0.1553398058252427</c:v>
                </c:pt>
                <c:pt idx="2">
                  <c:v>6.7961165048543687E-2</c:v>
                </c:pt>
                <c:pt idx="3">
                  <c:v>9.7087378640776698E-2</c:v>
                </c:pt>
                <c:pt idx="4">
                  <c:v>0.14563106796116504</c:v>
                </c:pt>
                <c:pt idx="5">
                  <c:v>0.12621359223300971</c:v>
                </c:pt>
                <c:pt idx="6">
                  <c:v>0.13592233009708737</c:v>
                </c:pt>
                <c:pt idx="7">
                  <c:v>0.10679611650485436</c:v>
                </c:pt>
                <c:pt idx="8">
                  <c:v>4.8543689320388349E-2</c:v>
                </c:pt>
                <c:pt idx="9">
                  <c:v>9.7087378640776691E-3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2016'!$E$110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2016'!$A$111:$A$120</c:f>
              <c:strCache>
                <c:ptCount val="10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Иновации</c:v>
                </c:pt>
                <c:pt idx="6">
                  <c:v>Подобряване условията на труд </c:v>
                </c:pt>
                <c:pt idx="7">
                  <c:v>Разширяване на производството</c:v>
                </c:pt>
                <c:pt idx="8">
                  <c:v>Разширяване на външно-търговска дейност</c:v>
                </c:pt>
                <c:pt idx="9">
                  <c:v>Друго</c:v>
                </c:pt>
              </c:strCache>
            </c:strRef>
          </c:cat>
          <c:val>
            <c:numRef>
              <c:f>'Резултати и графики 2016'!$E$111:$E$120</c:f>
              <c:numCache>
                <c:formatCode>0%</c:formatCode>
                <c:ptCount val="10"/>
                <c:pt idx="0">
                  <c:v>4.6296296296296294E-2</c:v>
                </c:pt>
                <c:pt idx="1">
                  <c:v>0.1388888888888889</c:v>
                </c:pt>
                <c:pt idx="2">
                  <c:v>0.1388888888888889</c:v>
                </c:pt>
                <c:pt idx="3">
                  <c:v>0.12037037037037036</c:v>
                </c:pt>
                <c:pt idx="4">
                  <c:v>0.18518518518518517</c:v>
                </c:pt>
                <c:pt idx="5">
                  <c:v>0</c:v>
                </c:pt>
                <c:pt idx="6">
                  <c:v>0.12037037037037036</c:v>
                </c:pt>
                <c:pt idx="7">
                  <c:v>0.1388888888888889</c:v>
                </c:pt>
                <c:pt idx="8">
                  <c:v>0.10185185185185185</c:v>
                </c:pt>
                <c:pt idx="9">
                  <c:v>9.2592592592592587E-3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2016'!$G$110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00B05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2016'!$A$111:$A$120</c:f>
              <c:strCache>
                <c:ptCount val="10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Иновации</c:v>
                </c:pt>
                <c:pt idx="6">
                  <c:v>Подобряване условията на труд </c:v>
                </c:pt>
                <c:pt idx="7">
                  <c:v>Разширяване на производството</c:v>
                </c:pt>
                <c:pt idx="8">
                  <c:v>Разширяване на външно-търговска дейност</c:v>
                </c:pt>
                <c:pt idx="9">
                  <c:v>Друго</c:v>
                </c:pt>
              </c:strCache>
            </c:strRef>
          </c:cat>
          <c:val>
            <c:numRef>
              <c:f>'Резултати и графики 2016'!$G$111:$G$120</c:f>
              <c:numCache>
                <c:formatCode>0%</c:formatCode>
                <c:ptCount val="10"/>
                <c:pt idx="0">
                  <c:v>6.8181818181818177E-2</c:v>
                </c:pt>
                <c:pt idx="1">
                  <c:v>0.22727272727272727</c:v>
                </c:pt>
                <c:pt idx="2">
                  <c:v>0.13636363636363635</c:v>
                </c:pt>
                <c:pt idx="3">
                  <c:v>7.9545454545454544E-2</c:v>
                </c:pt>
                <c:pt idx="4">
                  <c:v>0.13636363636363635</c:v>
                </c:pt>
                <c:pt idx="5">
                  <c:v>0</c:v>
                </c:pt>
                <c:pt idx="6">
                  <c:v>0.15909090909090909</c:v>
                </c:pt>
                <c:pt idx="7">
                  <c:v>9.0909090909090912E-2</c:v>
                </c:pt>
                <c:pt idx="8">
                  <c:v>6.8181818181818177E-2</c:v>
                </c:pt>
                <c:pt idx="9">
                  <c:v>3.4090909090909088E-2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020026016"/>
        <c:axId val="1020029824"/>
      </c:barChart>
      <c:catAx>
        <c:axId val="1020026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29824"/>
        <c:crosses val="autoZero"/>
        <c:auto val="1"/>
        <c:lblAlgn val="ctr"/>
        <c:lblOffset val="100"/>
        <c:noMultiLvlLbl val="0"/>
      </c:catAx>
      <c:valAx>
        <c:axId val="10200298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26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900" b="1"/>
              <a:t>Как оценявате 2015 г. от гледна точка на дейността на Вашата компания?</a:t>
            </a:r>
            <a:endParaRPr lang="en-US" sz="9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'Резултати и графики 2016'!$C$6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2016'!$A$7:$A$10</c:f>
              <c:strCache>
                <c:ptCount val="4"/>
                <c:pt idx="0">
                  <c:v>По-скоро успешна</c:v>
                </c:pt>
                <c:pt idx="1">
                  <c:v>По-скоро неуспешна</c:v>
                </c:pt>
                <c:pt idx="2">
                  <c:v>Без съществена разлика от миналата година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'Резултати и графики 2016'!$C$7:$C$10</c:f>
              <c:numCache>
                <c:formatCode>0%</c:formatCode>
                <c:ptCount val="4"/>
                <c:pt idx="0">
                  <c:v>0.5161290322580645</c:v>
                </c:pt>
                <c:pt idx="1">
                  <c:v>0.19354838709677419</c:v>
                </c:pt>
                <c:pt idx="2">
                  <c:v>0.25806451612903225</c:v>
                </c:pt>
                <c:pt idx="3">
                  <c:v>3.2258064516129031E-2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2016'!$E$6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2016'!$A$7:$A$10</c:f>
              <c:strCache>
                <c:ptCount val="4"/>
                <c:pt idx="0">
                  <c:v>По-скоро успешна</c:v>
                </c:pt>
                <c:pt idx="1">
                  <c:v>По-скоро неуспешна</c:v>
                </c:pt>
                <c:pt idx="2">
                  <c:v>Без съществена разлика от миналата година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'Резултати и графики 2016'!$E$7:$E$10</c:f>
              <c:numCache>
                <c:formatCode>0%</c:formatCode>
                <c:ptCount val="4"/>
                <c:pt idx="0">
                  <c:v>0.64864864864864868</c:v>
                </c:pt>
                <c:pt idx="1">
                  <c:v>0.24324324324324326</c:v>
                </c:pt>
                <c:pt idx="2">
                  <c:v>8.1081081081081086E-2</c:v>
                </c:pt>
                <c:pt idx="3">
                  <c:v>2.7027027027027029E-2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2016'!$G$6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2016'!$A$7:$A$10</c:f>
              <c:strCache>
                <c:ptCount val="4"/>
                <c:pt idx="0">
                  <c:v>По-скоро успешна</c:v>
                </c:pt>
                <c:pt idx="1">
                  <c:v>По-скоро неуспешна</c:v>
                </c:pt>
                <c:pt idx="2">
                  <c:v>Без съществена разлика от миналата година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'Резултати и графики 2016'!$G$7:$G$10</c:f>
              <c:numCache>
                <c:formatCode>0%</c:formatCode>
                <c:ptCount val="4"/>
                <c:pt idx="0">
                  <c:v>0.54285714285714282</c:v>
                </c:pt>
                <c:pt idx="1">
                  <c:v>0.31428571428571428</c:v>
                </c:pt>
                <c:pt idx="2">
                  <c:v>0.11428571428571428</c:v>
                </c:pt>
                <c:pt idx="3">
                  <c:v>2.8571428571428571E-2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20022752"/>
        <c:axId val="1020037440"/>
      </c:barChart>
      <c:catAx>
        <c:axId val="1020022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37440"/>
        <c:crosses val="autoZero"/>
        <c:auto val="1"/>
        <c:lblAlgn val="ctr"/>
        <c:lblOffset val="100"/>
        <c:noMultiLvlLbl val="0"/>
      </c:catAx>
      <c:valAx>
        <c:axId val="1020037440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22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100" b="1"/>
              <a:t>През изминалата</a:t>
            </a:r>
            <a:r>
              <a:rPr lang="bg-BG" sz="1100" b="1" baseline="0"/>
              <a:t> година </a:t>
            </a:r>
            <a:r>
              <a:rPr lang="bg-BG" sz="1100" b="1"/>
              <a:t>Вашата компания:</a:t>
            </a:r>
            <a:endParaRPr lang="en-US" sz="11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'Резултати и графики 2016'!$C$12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2016'!$A$13:$A$22</c:f>
              <c:strCache>
                <c:ptCount val="10"/>
                <c:pt idx="0">
                  <c:v>Увеличи производството си </c:v>
                </c:pt>
                <c:pt idx="1">
                  <c:v>Намали производството си </c:v>
                </c:pt>
                <c:pt idx="2">
                  <c:v>Увеличи инвестициите си </c:v>
                </c:pt>
                <c:pt idx="3">
                  <c:v>Намали инвестициите си </c:v>
                </c:pt>
                <c:pt idx="4">
                  <c:v>Увеличи персонала </c:v>
                </c:pt>
                <c:pt idx="5">
                  <c:v>Съкрати персонала</c:v>
                </c:pt>
                <c:pt idx="6">
                  <c:v>Разработи проект по европейски фондове</c:v>
                </c:pt>
                <c:pt idx="7">
                  <c:v>Увеличи заплатите на персонала </c:v>
                </c:pt>
                <c:pt idx="8">
                  <c:v>Намали заплатите на персонала </c:v>
                </c:pt>
                <c:pt idx="9">
                  <c:v>Друго</c:v>
                </c:pt>
              </c:strCache>
            </c:strRef>
          </c:cat>
          <c:val>
            <c:numRef>
              <c:f>'Резултати и графики 2016'!$C$13:$C$22</c:f>
              <c:numCache>
                <c:formatCode>0%</c:formatCode>
                <c:ptCount val="10"/>
                <c:pt idx="0">
                  <c:v>0.18867924528301899</c:v>
                </c:pt>
                <c:pt idx="1">
                  <c:v>9.4339622641509441E-2</c:v>
                </c:pt>
                <c:pt idx="2">
                  <c:v>0.13207547169811321</c:v>
                </c:pt>
                <c:pt idx="3">
                  <c:v>0.11320754716981132</c:v>
                </c:pt>
                <c:pt idx="4">
                  <c:v>0.13207547169811321</c:v>
                </c:pt>
                <c:pt idx="5">
                  <c:v>9.4339622641509441E-2</c:v>
                </c:pt>
                <c:pt idx="6">
                  <c:v>1.8867924528301886E-2</c:v>
                </c:pt>
                <c:pt idx="7">
                  <c:v>0.18867924528301888</c:v>
                </c:pt>
                <c:pt idx="8">
                  <c:v>1.8867924528301886E-2</c:v>
                </c:pt>
                <c:pt idx="9">
                  <c:v>1.8867924528301886E-2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2016'!$E$12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2016'!$A$13:$A$22</c:f>
              <c:strCache>
                <c:ptCount val="10"/>
                <c:pt idx="0">
                  <c:v>Увеличи производството си </c:v>
                </c:pt>
                <c:pt idx="1">
                  <c:v>Намали производството си </c:v>
                </c:pt>
                <c:pt idx="2">
                  <c:v>Увеличи инвестициите си </c:v>
                </c:pt>
                <c:pt idx="3">
                  <c:v>Намали инвестициите си </c:v>
                </c:pt>
                <c:pt idx="4">
                  <c:v>Увеличи персонала </c:v>
                </c:pt>
                <c:pt idx="5">
                  <c:v>Съкрати персонала</c:v>
                </c:pt>
                <c:pt idx="6">
                  <c:v>Разработи проект по европейски фондове</c:v>
                </c:pt>
                <c:pt idx="7">
                  <c:v>Увеличи заплатите на персонала </c:v>
                </c:pt>
                <c:pt idx="8">
                  <c:v>Намали заплатите на персонала </c:v>
                </c:pt>
                <c:pt idx="9">
                  <c:v>Друго</c:v>
                </c:pt>
              </c:strCache>
            </c:strRef>
          </c:cat>
          <c:val>
            <c:numRef>
              <c:f>'Резултати и графики 2016'!$E$13:$E$22</c:f>
              <c:numCache>
                <c:formatCode>0%</c:formatCode>
                <c:ptCount val="10"/>
                <c:pt idx="0">
                  <c:v>0.27397260273972601</c:v>
                </c:pt>
                <c:pt idx="1">
                  <c:v>0.1095890410958904</c:v>
                </c:pt>
                <c:pt idx="2">
                  <c:v>0.16438356164383561</c:v>
                </c:pt>
                <c:pt idx="3">
                  <c:v>6.8493150684931503E-2</c:v>
                </c:pt>
                <c:pt idx="4">
                  <c:v>9.5890410958904104E-2</c:v>
                </c:pt>
                <c:pt idx="5">
                  <c:v>4.1095890410958902E-2</c:v>
                </c:pt>
                <c:pt idx="6">
                  <c:v>5.4794520547945202E-2</c:v>
                </c:pt>
                <c:pt idx="7">
                  <c:v>0.15068493150684931</c:v>
                </c:pt>
                <c:pt idx="8">
                  <c:v>1.3698630136986301E-2</c:v>
                </c:pt>
                <c:pt idx="9">
                  <c:v>2.7397260273972601E-2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2016'!$G$12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00B05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2016'!$A$13:$A$22</c:f>
              <c:strCache>
                <c:ptCount val="10"/>
                <c:pt idx="0">
                  <c:v>Увеличи производството си </c:v>
                </c:pt>
                <c:pt idx="1">
                  <c:v>Намали производството си </c:v>
                </c:pt>
                <c:pt idx="2">
                  <c:v>Увеличи инвестициите си </c:v>
                </c:pt>
                <c:pt idx="3">
                  <c:v>Намали инвестициите си </c:v>
                </c:pt>
                <c:pt idx="4">
                  <c:v>Увеличи персонала </c:v>
                </c:pt>
                <c:pt idx="5">
                  <c:v>Съкрати персонала</c:v>
                </c:pt>
                <c:pt idx="6">
                  <c:v>Разработи проект по европейски фондове</c:v>
                </c:pt>
                <c:pt idx="7">
                  <c:v>Увеличи заплатите на персонала </c:v>
                </c:pt>
                <c:pt idx="8">
                  <c:v>Намали заплатите на персонала </c:v>
                </c:pt>
                <c:pt idx="9">
                  <c:v>Друго</c:v>
                </c:pt>
              </c:strCache>
            </c:strRef>
          </c:cat>
          <c:val>
            <c:numRef>
              <c:f>'Резултати и графики 2016'!$G$13:$G$22</c:f>
              <c:numCache>
                <c:formatCode>0%</c:formatCode>
                <c:ptCount val="10"/>
                <c:pt idx="0">
                  <c:v>0.21052631578947367</c:v>
                </c:pt>
                <c:pt idx="1">
                  <c:v>9.2105263157894732E-2</c:v>
                </c:pt>
                <c:pt idx="2">
                  <c:v>0.13157894736842105</c:v>
                </c:pt>
                <c:pt idx="3">
                  <c:v>6.5789473684210523E-2</c:v>
                </c:pt>
                <c:pt idx="4">
                  <c:v>0.15789473684210525</c:v>
                </c:pt>
                <c:pt idx="5">
                  <c:v>7.8947368421052627E-2</c:v>
                </c:pt>
                <c:pt idx="6">
                  <c:v>7.8947368421052627E-2</c:v>
                </c:pt>
                <c:pt idx="7">
                  <c:v>0.18421052631578946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020030368"/>
        <c:axId val="1020037984"/>
      </c:barChart>
      <c:catAx>
        <c:axId val="1020030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37984"/>
        <c:crosses val="autoZero"/>
        <c:auto val="1"/>
        <c:lblAlgn val="ctr"/>
        <c:lblOffset val="100"/>
        <c:noMultiLvlLbl val="0"/>
      </c:catAx>
      <c:valAx>
        <c:axId val="1020037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30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Какви инвестиции направи Вашата компания през изминалата</a:t>
            </a:r>
            <a:r>
              <a:rPr lang="bg-BG" sz="1200" b="1" baseline="0"/>
              <a:t> година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'Резултати и графики 2016'!$C$24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2016'!$A$25:$A$33</c:f>
              <c:strCache>
                <c:ptCount val="9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Подобряване условията на труд</c:v>
                </c:pt>
                <c:pt idx="6">
                  <c:v>Разширяване на производството</c:v>
                </c:pt>
                <c:pt idx="7">
                  <c:v>Разширяване на външно-търговската дейност</c:v>
                </c:pt>
                <c:pt idx="8">
                  <c:v>Друго</c:v>
                </c:pt>
              </c:strCache>
            </c:strRef>
          </c:cat>
          <c:val>
            <c:numRef>
              <c:f>'Резултати и графики 2016'!$C$25:$C$33</c:f>
              <c:numCache>
                <c:formatCode>0%</c:formatCode>
                <c:ptCount val="9"/>
                <c:pt idx="0">
                  <c:v>8.2191780821917804E-2</c:v>
                </c:pt>
                <c:pt idx="1">
                  <c:v>0.17808219178082191</c:v>
                </c:pt>
                <c:pt idx="2">
                  <c:v>9.5890410958904104E-2</c:v>
                </c:pt>
                <c:pt idx="3">
                  <c:v>0.12328767123287671</c:v>
                </c:pt>
                <c:pt idx="4">
                  <c:v>0.19178082191780821</c:v>
                </c:pt>
                <c:pt idx="5">
                  <c:v>0.16438356164383561</c:v>
                </c:pt>
                <c:pt idx="6">
                  <c:v>5.4794520547945202E-2</c:v>
                </c:pt>
                <c:pt idx="7">
                  <c:v>8.2191780821917804E-2</c:v>
                </c:pt>
                <c:pt idx="8">
                  <c:v>2.7397260273972601E-2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2016'!$E$24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2016'!$A$25:$A$33</c:f>
              <c:strCache>
                <c:ptCount val="9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Подобряване условията на труд</c:v>
                </c:pt>
                <c:pt idx="6">
                  <c:v>Разширяване на производството</c:v>
                </c:pt>
                <c:pt idx="7">
                  <c:v>Разширяване на външно-търговската дейност</c:v>
                </c:pt>
                <c:pt idx="8">
                  <c:v>Друго</c:v>
                </c:pt>
              </c:strCache>
            </c:strRef>
          </c:cat>
          <c:val>
            <c:numRef>
              <c:f>'Резултати и графики 2016'!$E$25:$E$33</c:f>
              <c:numCache>
                <c:formatCode>0%</c:formatCode>
                <c:ptCount val="9"/>
                <c:pt idx="0">
                  <c:v>7.2916666666666671E-2</c:v>
                </c:pt>
                <c:pt idx="1">
                  <c:v>0.17708333333333334</c:v>
                </c:pt>
                <c:pt idx="2">
                  <c:v>8.3333333333333329E-2</c:v>
                </c:pt>
                <c:pt idx="3">
                  <c:v>7.2916666666666671E-2</c:v>
                </c:pt>
                <c:pt idx="4">
                  <c:v>0.15625</c:v>
                </c:pt>
                <c:pt idx="5">
                  <c:v>0.20833333333333334</c:v>
                </c:pt>
                <c:pt idx="6">
                  <c:v>0.125</c:v>
                </c:pt>
                <c:pt idx="7">
                  <c:v>5.2083333333333336E-2</c:v>
                </c:pt>
                <c:pt idx="8">
                  <c:v>5.2083333333333336E-2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2016'!$G$24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00B05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2016'!$A$25:$A$33</c:f>
              <c:strCache>
                <c:ptCount val="9"/>
                <c:pt idx="0">
                  <c:v>Подобряване на енергийната ефективност</c:v>
                </c:pt>
                <c:pt idx="1">
                  <c:v>Ново оборудване</c:v>
                </c:pt>
                <c:pt idx="2">
                  <c:v>Нови технологии</c:v>
                </c:pt>
                <c:pt idx="3">
                  <c:v>Опазване на околната среда</c:v>
                </c:pt>
                <c:pt idx="4">
                  <c:v>Повишаване квалификацията на персонала</c:v>
                </c:pt>
                <c:pt idx="5">
                  <c:v>Подобряване условията на труд</c:v>
                </c:pt>
                <c:pt idx="6">
                  <c:v>Разширяване на производството</c:v>
                </c:pt>
                <c:pt idx="7">
                  <c:v>Разширяване на външно-търговската дейност</c:v>
                </c:pt>
                <c:pt idx="8">
                  <c:v>Друго</c:v>
                </c:pt>
              </c:strCache>
            </c:strRef>
          </c:cat>
          <c:val>
            <c:numRef>
              <c:f>'Резултати и графики 2016'!$G$25:$G$33</c:f>
              <c:numCache>
                <c:formatCode>0%</c:formatCode>
                <c:ptCount val="9"/>
                <c:pt idx="0">
                  <c:v>0.08</c:v>
                </c:pt>
                <c:pt idx="1">
                  <c:v>0.18</c:v>
                </c:pt>
                <c:pt idx="2">
                  <c:v>0.1</c:v>
                </c:pt>
                <c:pt idx="3">
                  <c:v>0.09</c:v>
                </c:pt>
                <c:pt idx="4">
                  <c:v>0.15</c:v>
                </c:pt>
                <c:pt idx="5">
                  <c:v>0.21</c:v>
                </c:pt>
                <c:pt idx="6">
                  <c:v>0.1</c:v>
                </c:pt>
                <c:pt idx="7">
                  <c:v>7.0000000000000007E-2</c:v>
                </c:pt>
                <c:pt idx="8">
                  <c:v>0.02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020032544"/>
        <c:axId val="1020033088"/>
      </c:barChart>
      <c:catAx>
        <c:axId val="10200325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33088"/>
        <c:crosses val="autoZero"/>
        <c:auto val="1"/>
        <c:lblAlgn val="ctr"/>
        <c:lblOffset val="100"/>
        <c:noMultiLvlLbl val="0"/>
      </c:catAx>
      <c:valAx>
        <c:axId val="10200330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32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200" b="1"/>
              <a:t>Какви са основните проблеми, с които се сблъска Вашата компания през изминалата година?</a:t>
            </a:r>
            <a:endParaRPr lang="en-US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'Резултати и графики 2016'!$C$36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accen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2016'!$A$37:$A$50</c:f>
              <c:strCache>
                <c:ptCount val="14"/>
                <c:pt idx="0">
                  <c:v>Неефективност на държавните институции</c:v>
                </c:pt>
                <c:pt idx="1">
                  <c:v>Мудност в работата на администрацията</c:v>
                </c:pt>
                <c:pt idx="2">
                  <c:v>Висока данъчна тежест</c:v>
                </c:pt>
                <c:pt idx="3">
                  <c:v>Проблеми с местната общност или НПО</c:v>
                </c:pt>
                <c:pt idx="4">
                  <c:v>Финансова и икономическа криза</c:v>
                </c:pt>
                <c:pt idx="5">
                  <c:v>Строги регулации на дейността над европейските</c:v>
                </c:pt>
                <c:pt idx="6">
                  <c:v>Проблема с реализацията на продукцията</c:v>
                </c:pt>
                <c:pt idx="7">
                  <c:v>Затруднен достъп до финансиране</c:v>
                </c:pt>
                <c:pt idx="8">
                  <c:v>Нелегален внос</c:v>
                </c:pt>
                <c:pt idx="9">
                  <c:v>Нелоялна конкуренция от сивия сектор</c:v>
                </c:pt>
                <c:pt idx="10">
                  <c:v>Непредсказуема нормативна уредба</c:v>
                </c:pt>
                <c:pt idx="11">
                  <c:v>Недостатъчна квалификация на персонала</c:v>
                </c:pt>
                <c:pt idx="12">
                  <c:v>Несъбираеми вземания</c:v>
                </c:pt>
                <c:pt idx="13">
                  <c:v>Друго</c:v>
                </c:pt>
              </c:strCache>
            </c:strRef>
          </c:cat>
          <c:val>
            <c:numRef>
              <c:f>'Резултати и графики 2016'!$C$37:$C$50</c:f>
              <c:numCache>
                <c:formatCode>0%</c:formatCode>
                <c:ptCount val="14"/>
                <c:pt idx="0">
                  <c:v>0.17721518987341772</c:v>
                </c:pt>
                <c:pt idx="1">
                  <c:v>0.189873417721519</c:v>
                </c:pt>
                <c:pt idx="2">
                  <c:v>1.2658227848101266E-2</c:v>
                </c:pt>
                <c:pt idx="3">
                  <c:v>5.0632911392405063E-2</c:v>
                </c:pt>
                <c:pt idx="4">
                  <c:v>0.11392405063291139</c:v>
                </c:pt>
                <c:pt idx="5">
                  <c:v>2.5316455696202531E-2</c:v>
                </c:pt>
                <c:pt idx="6">
                  <c:v>1.2658227848101266E-2</c:v>
                </c:pt>
                <c:pt idx="7">
                  <c:v>5.0632911392405063E-2</c:v>
                </c:pt>
                <c:pt idx="8">
                  <c:v>1.2658227848101266E-2</c:v>
                </c:pt>
                <c:pt idx="9">
                  <c:v>0.12658227848101267</c:v>
                </c:pt>
                <c:pt idx="10">
                  <c:v>7.5949367088607597E-2</c:v>
                </c:pt>
                <c:pt idx="11">
                  <c:v>7.5949367088607597E-2</c:v>
                </c:pt>
                <c:pt idx="12">
                  <c:v>7.5949367088607597E-2</c:v>
                </c:pt>
                <c:pt idx="13">
                  <c:v>0</c:v>
                </c:pt>
              </c:numCache>
            </c:numRef>
          </c:val>
        </c:ser>
        <c:ser>
          <c:idx val="1"/>
          <c:order val="1"/>
          <c:tx>
            <c:strRef>
              <c:f>'Резултати и графики 2016'!$E$36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FF000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2016'!$A$37:$A$50</c:f>
              <c:strCache>
                <c:ptCount val="14"/>
                <c:pt idx="0">
                  <c:v>Неефективност на държавните институции</c:v>
                </c:pt>
                <c:pt idx="1">
                  <c:v>Мудност в работата на администрацията</c:v>
                </c:pt>
                <c:pt idx="2">
                  <c:v>Висока данъчна тежест</c:v>
                </c:pt>
                <c:pt idx="3">
                  <c:v>Проблеми с местната общност или НПО</c:v>
                </c:pt>
                <c:pt idx="4">
                  <c:v>Финансова и икономическа криза</c:v>
                </c:pt>
                <c:pt idx="5">
                  <c:v>Строги регулации на дейността над европейските</c:v>
                </c:pt>
                <c:pt idx="6">
                  <c:v>Проблема с реализацията на продукцията</c:v>
                </c:pt>
                <c:pt idx="7">
                  <c:v>Затруднен достъп до финансиране</c:v>
                </c:pt>
                <c:pt idx="8">
                  <c:v>Нелегален внос</c:v>
                </c:pt>
                <c:pt idx="9">
                  <c:v>Нелоялна конкуренция от сивия сектор</c:v>
                </c:pt>
                <c:pt idx="10">
                  <c:v>Непредсказуема нормативна уредба</c:v>
                </c:pt>
                <c:pt idx="11">
                  <c:v>Недостатъчна квалификация на персонала</c:v>
                </c:pt>
                <c:pt idx="12">
                  <c:v>Несъбираеми вземания</c:v>
                </c:pt>
                <c:pt idx="13">
                  <c:v>Друго</c:v>
                </c:pt>
              </c:strCache>
            </c:strRef>
          </c:cat>
          <c:val>
            <c:numRef>
              <c:f>'Резултати и графики 2016'!$E$37:$E$50</c:f>
              <c:numCache>
                <c:formatCode>0%</c:formatCode>
                <c:ptCount val="14"/>
                <c:pt idx="0">
                  <c:v>0.18691588785046728</c:v>
                </c:pt>
                <c:pt idx="1">
                  <c:v>0.14953271028037382</c:v>
                </c:pt>
                <c:pt idx="2">
                  <c:v>9.3457943925233638E-3</c:v>
                </c:pt>
                <c:pt idx="3">
                  <c:v>6.5420560747663545E-2</c:v>
                </c:pt>
                <c:pt idx="4">
                  <c:v>0.11214953271028037</c:v>
                </c:pt>
                <c:pt idx="5">
                  <c:v>1.8691588785046728E-2</c:v>
                </c:pt>
                <c:pt idx="6">
                  <c:v>3.7383177570093455E-2</c:v>
                </c:pt>
                <c:pt idx="7">
                  <c:v>3.7383177570093455E-2</c:v>
                </c:pt>
                <c:pt idx="8">
                  <c:v>0</c:v>
                </c:pt>
                <c:pt idx="9">
                  <c:v>0.12149532710280374</c:v>
                </c:pt>
                <c:pt idx="10">
                  <c:v>8.4112149532710276E-2</c:v>
                </c:pt>
                <c:pt idx="11">
                  <c:v>6.5420560747663545E-2</c:v>
                </c:pt>
                <c:pt idx="12">
                  <c:v>7.476635514018691E-2</c:v>
                </c:pt>
                <c:pt idx="13">
                  <c:v>3.7383177570093455E-2</c:v>
                </c:pt>
              </c:numCache>
            </c:numRef>
          </c:val>
        </c:ser>
        <c:ser>
          <c:idx val="2"/>
          <c:order val="2"/>
          <c:tx>
            <c:strRef>
              <c:f>'Резултати и графики 2016'!$G$36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rgbClr val="00B050"/>
                    </a:solidFill>
                    <a:latin typeface="+mn-lt"/>
                    <a:ea typeface="+mn-ea"/>
                    <a:cs typeface="+mn-cs"/>
                  </a:defRPr>
                </a:pPr>
                <a:endParaRPr lang="bg-BG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'Резултати и графики 2016'!$A$37:$A$50</c:f>
              <c:strCache>
                <c:ptCount val="14"/>
                <c:pt idx="0">
                  <c:v>Неефективност на държавните институции</c:v>
                </c:pt>
                <c:pt idx="1">
                  <c:v>Мудност в работата на администрацията</c:v>
                </c:pt>
                <c:pt idx="2">
                  <c:v>Висока данъчна тежест</c:v>
                </c:pt>
                <c:pt idx="3">
                  <c:v>Проблеми с местната общност или НПО</c:v>
                </c:pt>
                <c:pt idx="4">
                  <c:v>Финансова и икономическа криза</c:v>
                </c:pt>
                <c:pt idx="5">
                  <c:v>Строги регулации на дейността над европейските</c:v>
                </c:pt>
                <c:pt idx="6">
                  <c:v>Проблема с реализацията на продукцията</c:v>
                </c:pt>
                <c:pt idx="7">
                  <c:v>Затруднен достъп до финансиране</c:v>
                </c:pt>
                <c:pt idx="8">
                  <c:v>Нелегален внос</c:v>
                </c:pt>
                <c:pt idx="9">
                  <c:v>Нелоялна конкуренция от сивия сектор</c:v>
                </c:pt>
                <c:pt idx="10">
                  <c:v>Непредсказуема нормативна уредба</c:v>
                </c:pt>
                <c:pt idx="11">
                  <c:v>Недостатъчна квалификация на персонала</c:v>
                </c:pt>
                <c:pt idx="12">
                  <c:v>Несъбираеми вземания</c:v>
                </c:pt>
                <c:pt idx="13">
                  <c:v>Друго</c:v>
                </c:pt>
              </c:strCache>
            </c:strRef>
          </c:cat>
          <c:val>
            <c:numRef>
              <c:f>'Резултати и графики 2016'!$G$37:$G$50</c:f>
              <c:numCache>
                <c:formatCode>0%</c:formatCode>
                <c:ptCount val="14"/>
                <c:pt idx="0">
                  <c:v>0.14285714285714285</c:v>
                </c:pt>
                <c:pt idx="1">
                  <c:v>0.20535714285714285</c:v>
                </c:pt>
                <c:pt idx="2">
                  <c:v>2.6785714285714284E-2</c:v>
                </c:pt>
                <c:pt idx="3">
                  <c:v>7.1428571428571425E-2</c:v>
                </c:pt>
                <c:pt idx="4">
                  <c:v>9.8214285714285712E-2</c:v>
                </c:pt>
                <c:pt idx="5">
                  <c:v>2.6785714285714284E-2</c:v>
                </c:pt>
                <c:pt idx="6">
                  <c:v>0</c:v>
                </c:pt>
                <c:pt idx="7">
                  <c:v>2.6785714285714284E-2</c:v>
                </c:pt>
                <c:pt idx="8">
                  <c:v>2.6785714285714284E-2</c:v>
                </c:pt>
                <c:pt idx="9">
                  <c:v>0.11607142857142858</c:v>
                </c:pt>
                <c:pt idx="10">
                  <c:v>8.9285714285714288E-2</c:v>
                </c:pt>
                <c:pt idx="11">
                  <c:v>4.4642857142857144E-2</c:v>
                </c:pt>
                <c:pt idx="12">
                  <c:v>0.10714285714285714</c:v>
                </c:pt>
                <c:pt idx="13">
                  <c:v>1.7857142857142856E-2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20034720"/>
        <c:axId val="1020014592"/>
      </c:barChart>
      <c:catAx>
        <c:axId val="1020034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14592"/>
        <c:crosses val="autoZero"/>
        <c:auto val="1"/>
        <c:lblAlgn val="ctr"/>
        <c:lblOffset val="100"/>
        <c:noMultiLvlLbl val="0"/>
      </c:catAx>
      <c:valAx>
        <c:axId val="10200145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bg-BG"/>
          </a:p>
        </c:txPr>
        <c:crossAx val="1020034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bg-BG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4C"/>
    <w:rsid w:val="001E5B4C"/>
    <w:rsid w:val="0031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17F3F8D80549B6B48322B7AC721457">
    <w:name w:val="5517F3F8D80549B6B48322B7AC721457"/>
    <w:rsid w:val="001E5B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2016-04-14T00:00:00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1B1C9B-A557-4F2D-9685-511CC678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2073</Words>
  <Characters>11820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ДОКЛАД</vt:lpstr>
      <vt:lpstr>ДОКЛАД</vt:lpstr>
    </vt:vector>
  </TitlesOfParts>
  <Company>Българска минно-геоложка камара</Company>
  <LinksUpToDate>false</LinksUpToDate>
  <CharactersWithSpaces>13866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>Анкетно проучване сред участниците в редовното годишно Общо събрание на БМГК</dc:subject>
  <dc:creator>x</dc:creator>
  <cp:lastModifiedBy>Daniel Kiryakov</cp:lastModifiedBy>
  <cp:revision>8</cp:revision>
  <dcterms:created xsi:type="dcterms:W3CDTF">2016-06-07T07:32:00Z</dcterms:created>
  <dcterms:modified xsi:type="dcterms:W3CDTF">2016-06-07T07:58:00Z</dcterms:modified>
</cp:coreProperties>
</file>